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713" w:rsidRPr="00D71591" w:rsidRDefault="00D71591" w:rsidP="00D71591">
      <w:pPr>
        <w:spacing w:after="120"/>
        <w:rPr>
          <w:rFonts w:ascii="Arial" w:hAnsi="Arial" w:cs="Arial"/>
          <w:sz w:val="18"/>
          <w:szCs w:val="18"/>
        </w:rPr>
      </w:pPr>
      <w:r w:rsidRPr="00D71591">
        <w:rPr>
          <w:rFonts w:ascii="Arial" w:hAnsi="Arial" w:cs="Arial"/>
          <w:sz w:val="18"/>
          <w:szCs w:val="18"/>
        </w:rPr>
        <w:t>2013</w:t>
      </w:r>
    </w:p>
    <w:p w:rsidR="00D71591" w:rsidRDefault="00D71591" w:rsidP="00D71591">
      <w:pPr>
        <w:spacing w:after="120"/>
        <w:rPr>
          <w:rFonts w:ascii="Arial" w:hAnsi="Arial" w:cs="Arial"/>
          <w:sz w:val="18"/>
          <w:szCs w:val="18"/>
          <w:lang w:eastAsia="en-NZ"/>
        </w:rPr>
      </w:pPr>
      <w:r w:rsidRPr="00D71591">
        <w:rPr>
          <w:rFonts w:ascii="Arial" w:hAnsi="Arial" w:cs="Arial"/>
          <w:sz w:val="18"/>
          <w:szCs w:val="18"/>
          <w:lang w:eastAsia="en-NZ"/>
        </w:rPr>
        <w:t>80 Byron Street Sydenham</w:t>
      </w:r>
    </w:p>
    <w:p w:rsidR="00B24095" w:rsidRDefault="00B24095" w:rsidP="00D71591">
      <w:pPr>
        <w:spacing w:after="120"/>
      </w:pPr>
      <w:r>
        <w:t>Alterations and additions to existing commercial building - new office/meeting and store room</w:t>
      </w:r>
    </w:p>
    <w:p w:rsidR="001326C1" w:rsidRDefault="001326C1" w:rsidP="00D71591">
      <w:pPr>
        <w:spacing w:after="120"/>
        <w:rPr>
          <w:rFonts w:ascii="Arial" w:hAnsi="Arial" w:cs="Arial"/>
          <w:sz w:val="18"/>
          <w:szCs w:val="18"/>
          <w:lang w:eastAsia="en-NZ"/>
        </w:rPr>
      </w:pPr>
      <w:r>
        <w:rPr>
          <w:noProof/>
          <w:lang w:eastAsia="en-NZ"/>
        </w:rPr>
        <w:drawing>
          <wp:inline distT="0" distB="0" distL="0" distR="0" wp14:anchorId="759DB413" wp14:editId="59358F38">
            <wp:extent cx="6477561" cy="495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7561" cy="495343"/>
                    </a:xfrm>
                    <a:prstGeom prst="rect">
                      <a:avLst/>
                    </a:prstGeom>
                  </pic:spPr>
                </pic:pic>
              </a:graphicData>
            </a:graphic>
          </wp:inline>
        </w:drawing>
      </w:r>
    </w:p>
    <w:p w:rsidR="00D71591" w:rsidRDefault="00B24095" w:rsidP="00D71591">
      <w:pPr>
        <w:pStyle w:val="ListParagraph"/>
        <w:numPr>
          <w:ilvl w:val="0"/>
          <w:numId w:val="1"/>
        </w:numPr>
        <w:spacing w:after="120"/>
        <w:rPr>
          <w:rFonts w:ascii="Arial" w:hAnsi="Arial" w:cs="Arial"/>
          <w:sz w:val="18"/>
          <w:szCs w:val="18"/>
        </w:rPr>
      </w:pPr>
      <w:r>
        <w:rPr>
          <w:rFonts w:ascii="Arial" w:hAnsi="Arial" w:cs="Arial"/>
          <w:sz w:val="18"/>
          <w:szCs w:val="18"/>
        </w:rPr>
        <w:t xml:space="preserve">TCNA (commercial) </w:t>
      </w:r>
    </w:p>
    <w:p w:rsidR="00B24095" w:rsidRDefault="00B24095" w:rsidP="00D71591">
      <w:pPr>
        <w:pStyle w:val="ListParagraph"/>
        <w:numPr>
          <w:ilvl w:val="0"/>
          <w:numId w:val="1"/>
        </w:numPr>
        <w:spacing w:after="120"/>
        <w:rPr>
          <w:rFonts w:ascii="Arial" w:hAnsi="Arial" w:cs="Arial"/>
          <w:sz w:val="18"/>
          <w:szCs w:val="18"/>
        </w:rPr>
      </w:pPr>
      <w:r>
        <w:rPr>
          <w:rFonts w:ascii="Arial" w:hAnsi="Arial" w:cs="Arial"/>
          <w:sz w:val="18"/>
          <w:szCs w:val="18"/>
        </w:rPr>
        <w:t>Liquefaction risk moderate</w:t>
      </w:r>
    </w:p>
    <w:p w:rsidR="001326C1" w:rsidRPr="00312466" w:rsidRDefault="001326C1" w:rsidP="001326C1">
      <w:pPr>
        <w:spacing w:after="120"/>
        <w:rPr>
          <w:rFonts w:ascii="Arial" w:hAnsi="Arial" w:cs="Arial"/>
          <w:sz w:val="18"/>
          <w:szCs w:val="18"/>
        </w:rPr>
      </w:pPr>
      <w:r>
        <w:rPr>
          <w:rFonts w:ascii="Arial" w:hAnsi="Arial" w:cs="Arial"/>
          <w:b/>
          <w:sz w:val="18"/>
          <w:szCs w:val="18"/>
        </w:rPr>
        <w:t>SUPPORTING DOCUMENT</w:t>
      </w:r>
      <w:r>
        <w:rPr>
          <w:rFonts w:ascii="Arial" w:hAnsi="Arial" w:cs="Arial"/>
          <w:sz w:val="18"/>
          <w:szCs w:val="18"/>
        </w:rPr>
        <w:t xml:space="preserve"> </w:t>
      </w:r>
      <w:r w:rsidRPr="00312466">
        <w:rPr>
          <w:rFonts w:ascii="Arial" w:hAnsi="Arial" w:cs="Arial"/>
          <w:strike/>
          <w:sz w:val="18"/>
          <w:szCs w:val="18"/>
        </w:rPr>
        <w:t>83pp</w:t>
      </w:r>
      <w:r w:rsidR="00312466">
        <w:rPr>
          <w:rFonts w:ascii="Arial" w:hAnsi="Arial" w:cs="Arial"/>
          <w:strike/>
          <w:sz w:val="18"/>
          <w:szCs w:val="18"/>
        </w:rPr>
        <w:t xml:space="preserve"> </w:t>
      </w:r>
      <w:r w:rsidR="00312466">
        <w:rPr>
          <w:rFonts w:ascii="Arial" w:hAnsi="Arial" w:cs="Arial"/>
          <w:sz w:val="18"/>
          <w:szCs w:val="18"/>
        </w:rPr>
        <w:t>250pp</w:t>
      </w:r>
    </w:p>
    <w:p w:rsidR="001326C1" w:rsidRDefault="001326C1" w:rsidP="001326C1">
      <w:pPr>
        <w:spacing w:after="120"/>
        <w:rPr>
          <w:rFonts w:ascii="Arial" w:hAnsi="Arial" w:cs="Arial"/>
          <w:sz w:val="18"/>
          <w:szCs w:val="18"/>
        </w:rPr>
      </w:pPr>
      <w:r w:rsidRPr="00312466">
        <w:rPr>
          <w:rFonts w:ascii="Arial" w:hAnsi="Arial" w:cs="Arial"/>
          <w:strike/>
          <w:sz w:val="18"/>
          <w:szCs w:val="18"/>
        </w:rPr>
        <w:t>p.56</w:t>
      </w:r>
      <w:r w:rsidR="00312466" w:rsidRPr="00312466">
        <w:rPr>
          <w:rFonts w:ascii="Arial" w:hAnsi="Arial" w:cs="Arial"/>
          <w:strike/>
          <w:sz w:val="18"/>
          <w:szCs w:val="18"/>
        </w:rPr>
        <w:t xml:space="preserve"> </w:t>
      </w:r>
      <w:r w:rsidR="00312466">
        <w:rPr>
          <w:rFonts w:ascii="Arial" w:hAnsi="Arial" w:cs="Arial"/>
          <w:sz w:val="18"/>
          <w:szCs w:val="18"/>
        </w:rPr>
        <w:t>p.92</w:t>
      </w:r>
      <w:r>
        <w:rPr>
          <w:rFonts w:ascii="Arial" w:hAnsi="Arial" w:cs="Arial"/>
          <w:sz w:val="18"/>
          <w:szCs w:val="18"/>
        </w:rPr>
        <w:t xml:space="preserve"> Geotechnical letter for proposed extension, EDC, 14 March 2017</w:t>
      </w:r>
      <w:r w:rsidR="00765ADE">
        <w:rPr>
          <w:rFonts w:ascii="Arial" w:hAnsi="Arial" w:cs="Arial"/>
          <w:sz w:val="18"/>
          <w:szCs w:val="18"/>
        </w:rPr>
        <w:t>, signed Gareth Williams (CPEng- geotech)</w:t>
      </w:r>
    </w:p>
    <w:p w:rsidR="001326C1" w:rsidRDefault="001326C1" w:rsidP="001326C1">
      <w:pPr>
        <w:spacing w:after="120"/>
        <w:rPr>
          <w:rFonts w:ascii="Arial" w:hAnsi="Arial" w:cs="Arial"/>
          <w:sz w:val="18"/>
          <w:szCs w:val="18"/>
        </w:rPr>
      </w:pPr>
      <w:r>
        <w:rPr>
          <w:noProof/>
          <w:lang w:eastAsia="en-NZ"/>
        </w:rPr>
        <w:drawing>
          <wp:inline distT="0" distB="0" distL="0" distR="0" wp14:anchorId="56424136" wp14:editId="7398A143">
            <wp:extent cx="2508010" cy="1386205"/>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0301" cy="1387471"/>
                    </a:xfrm>
                    <a:prstGeom prst="rect">
                      <a:avLst/>
                    </a:prstGeom>
                  </pic:spPr>
                </pic:pic>
              </a:graphicData>
            </a:graphic>
          </wp:inline>
        </w:drawing>
      </w:r>
    </w:p>
    <w:p w:rsidR="001326C1" w:rsidRDefault="001326C1" w:rsidP="001326C1">
      <w:pPr>
        <w:pStyle w:val="ListParagraph"/>
        <w:numPr>
          <w:ilvl w:val="0"/>
          <w:numId w:val="2"/>
        </w:numPr>
        <w:spacing w:after="120"/>
        <w:rPr>
          <w:rFonts w:ascii="Arial" w:hAnsi="Arial" w:cs="Arial"/>
          <w:sz w:val="18"/>
          <w:szCs w:val="18"/>
        </w:rPr>
      </w:pPr>
      <w:r>
        <w:rPr>
          <w:rFonts w:ascii="Arial" w:hAnsi="Arial" w:cs="Arial"/>
          <w:sz w:val="18"/>
          <w:szCs w:val="18"/>
        </w:rPr>
        <w:t>Proposed fdn concrete slab tied to existing bldg concrete slab</w:t>
      </w:r>
    </w:p>
    <w:p w:rsidR="001326C1" w:rsidRDefault="001326C1" w:rsidP="001326C1">
      <w:pPr>
        <w:pStyle w:val="ListParagraph"/>
        <w:numPr>
          <w:ilvl w:val="0"/>
          <w:numId w:val="2"/>
        </w:numPr>
        <w:spacing w:after="120"/>
        <w:rPr>
          <w:rFonts w:ascii="Arial" w:hAnsi="Arial" w:cs="Arial"/>
          <w:sz w:val="18"/>
          <w:szCs w:val="18"/>
        </w:rPr>
      </w:pPr>
      <w:r>
        <w:rPr>
          <w:rFonts w:ascii="Arial" w:hAnsi="Arial" w:cs="Arial"/>
          <w:sz w:val="18"/>
          <w:szCs w:val="18"/>
        </w:rPr>
        <w:t>Geotechnical report for 83 Byron St (40m NE of extension)</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2 CPTs, 2 HA</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 xml:space="preserve">Gravel fill to 0.3m, clayey silt to 2.0m </w:t>
      </w:r>
      <w:r>
        <w:rPr>
          <w:rFonts w:ascii="Arial" w:hAnsi="Arial" w:cs="Arial"/>
          <w:color w:val="FF0000"/>
          <w:sz w:val="18"/>
          <w:szCs w:val="18"/>
        </w:rPr>
        <w:t>consistency?</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GW not encountered</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Liquefaction induced settlement 60 – 90mm (SLS2, 10m); 90 – 115mm (ULS, 10m); “very little” in upper 4.5m (SLS or ULS)</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Lateral spreading risk low</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Lateral stretch risk minor to moderate</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Conventional shallow fdn not recommended</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Piled fdn considered suitable founded at 12.5m; soil between 12 &amp; 16m has sufficient bearing and thickness for deep piles</w:t>
      </w:r>
    </w:p>
    <w:p w:rsidR="001326C1" w:rsidRDefault="001326C1" w:rsidP="001326C1">
      <w:pPr>
        <w:pStyle w:val="ListParagraph"/>
        <w:numPr>
          <w:ilvl w:val="1"/>
          <w:numId w:val="2"/>
        </w:numPr>
        <w:spacing w:after="120"/>
        <w:ind w:left="1134"/>
        <w:rPr>
          <w:rFonts w:ascii="Arial" w:hAnsi="Arial" w:cs="Arial"/>
          <w:sz w:val="18"/>
          <w:szCs w:val="18"/>
        </w:rPr>
      </w:pPr>
      <w:r>
        <w:rPr>
          <w:rFonts w:ascii="Arial" w:hAnsi="Arial" w:cs="Arial"/>
          <w:sz w:val="18"/>
          <w:szCs w:val="18"/>
        </w:rPr>
        <w:t>If residential, would be TC3</w:t>
      </w:r>
    </w:p>
    <w:p w:rsidR="001326C1"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Expected profile (from 50m NW of site): 0.8m fill, silt with occ sand to 4.5m, fine to med sand to ≥ 15m</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GW 0.0 – 2.0m (GNS); 1.0 – 2.0m (EQC)</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Vert ground movement 100 – 200mm from CEQ (EQC)</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Horiz ground movement 170mm to SW (EQC)</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 xml:space="preserve">No liq ejecta observed after CES </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No ground cracks on site or nearby (EQC)</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Site sufficiently tested to SLS</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Damage to existing bldg was light and limited</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Class D deep or soft soil</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FFL 14.39m; avg ground level on site 13.82m</w:t>
      </w:r>
    </w:p>
    <w:p w:rsidR="00A8081F" w:rsidRDefault="00A8081F" w:rsidP="00A8081F">
      <w:pPr>
        <w:pStyle w:val="ListParagraph"/>
        <w:numPr>
          <w:ilvl w:val="0"/>
          <w:numId w:val="2"/>
        </w:numPr>
        <w:spacing w:after="120"/>
        <w:rPr>
          <w:rFonts w:ascii="Arial" w:hAnsi="Arial" w:cs="Arial"/>
          <w:sz w:val="18"/>
          <w:szCs w:val="18"/>
        </w:rPr>
      </w:pPr>
      <w:r>
        <w:rPr>
          <w:rFonts w:ascii="Arial" w:hAnsi="Arial" w:cs="Arial"/>
          <w:sz w:val="18"/>
          <w:szCs w:val="18"/>
        </w:rPr>
        <w:t xml:space="preserve">2 HA to 3.2m, </w:t>
      </w:r>
      <w:r w:rsidR="00B16725">
        <w:rPr>
          <w:rFonts w:ascii="Arial" w:hAnsi="Arial" w:cs="Arial"/>
          <w:sz w:val="18"/>
          <w:szCs w:val="18"/>
        </w:rPr>
        <w:t>2</w:t>
      </w:r>
      <w:r>
        <w:rPr>
          <w:rFonts w:ascii="Arial" w:hAnsi="Arial" w:cs="Arial"/>
          <w:sz w:val="18"/>
          <w:szCs w:val="18"/>
        </w:rPr>
        <w:t xml:space="preserve"> Scala </w:t>
      </w:r>
      <w:r w:rsidR="00B16725">
        <w:rPr>
          <w:rFonts w:ascii="Arial" w:hAnsi="Arial" w:cs="Arial"/>
          <w:sz w:val="18"/>
          <w:szCs w:val="18"/>
        </w:rPr>
        <w:t>to 2.9 – 3.9m</w:t>
      </w:r>
    </w:p>
    <w:p w:rsidR="00B16725" w:rsidRDefault="00B16725" w:rsidP="00E12C7A">
      <w:pPr>
        <w:pStyle w:val="ListParagraph"/>
        <w:spacing w:after="120"/>
        <w:rPr>
          <w:rFonts w:ascii="Arial" w:hAnsi="Arial" w:cs="Arial"/>
          <w:sz w:val="18"/>
          <w:szCs w:val="18"/>
        </w:rPr>
      </w:pPr>
      <w:r>
        <w:rPr>
          <w:noProof/>
          <w:lang w:eastAsia="en-NZ"/>
        </w:rPr>
        <w:lastRenderedPageBreak/>
        <w:drawing>
          <wp:inline distT="0" distB="0" distL="0" distR="0" wp14:anchorId="2852A7D4" wp14:editId="04AF0DD5">
            <wp:extent cx="4079240" cy="112305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2771" cy="1126784"/>
                    </a:xfrm>
                    <a:prstGeom prst="rect">
                      <a:avLst/>
                    </a:prstGeom>
                  </pic:spPr>
                </pic:pic>
              </a:graphicData>
            </a:graphic>
          </wp:inline>
        </w:drawing>
      </w:r>
      <w:r w:rsidR="00E12C7A" w:rsidRPr="00E12C7A">
        <w:rPr>
          <w:noProof/>
          <w:lang w:eastAsia="en-NZ"/>
        </w:rPr>
        <w:t xml:space="preserve"> </w:t>
      </w:r>
      <w:r w:rsidR="00E12C7A">
        <w:rPr>
          <w:noProof/>
          <w:lang w:eastAsia="en-NZ"/>
        </w:rPr>
        <w:drawing>
          <wp:inline distT="0" distB="0" distL="0" distR="0" wp14:anchorId="1F51106B" wp14:editId="199A107A">
            <wp:extent cx="4272280" cy="688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6201" cy="695348"/>
                    </a:xfrm>
                    <a:prstGeom prst="rect">
                      <a:avLst/>
                    </a:prstGeom>
                  </pic:spPr>
                </pic:pic>
              </a:graphicData>
            </a:graphic>
          </wp:inline>
        </w:drawing>
      </w:r>
    </w:p>
    <w:p w:rsidR="00B16725" w:rsidRDefault="00B16725" w:rsidP="00A8081F">
      <w:pPr>
        <w:pStyle w:val="ListParagraph"/>
        <w:numPr>
          <w:ilvl w:val="0"/>
          <w:numId w:val="2"/>
        </w:numPr>
        <w:spacing w:after="120"/>
        <w:rPr>
          <w:rFonts w:ascii="Arial" w:hAnsi="Arial" w:cs="Arial"/>
          <w:sz w:val="18"/>
          <w:szCs w:val="18"/>
        </w:rPr>
      </w:pPr>
      <w:r>
        <w:rPr>
          <w:rFonts w:ascii="Arial" w:hAnsi="Arial" w:cs="Arial"/>
          <w:sz w:val="18"/>
          <w:szCs w:val="18"/>
        </w:rPr>
        <w:t>GW 1.6m</w:t>
      </w:r>
    </w:p>
    <w:p w:rsidR="00B16725" w:rsidRDefault="00B16725" w:rsidP="00A8081F">
      <w:pPr>
        <w:pStyle w:val="ListParagraph"/>
        <w:numPr>
          <w:ilvl w:val="0"/>
          <w:numId w:val="2"/>
        </w:numPr>
        <w:spacing w:after="120"/>
        <w:rPr>
          <w:rFonts w:ascii="Arial" w:hAnsi="Arial" w:cs="Arial"/>
          <w:sz w:val="18"/>
          <w:szCs w:val="18"/>
        </w:rPr>
      </w:pPr>
      <w:r>
        <w:rPr>
          <w:rFonts w:ascii="Arial" w:hAnsi="Arial" w:cs="Arial"/>
          <w:sz w:val="18"/>
          <w:szCs w:val="18"/>
        </w:rPr>
        <w:t>Hydrocarbon smell at HA102 at 1.0m</w:t>
      </w:r>
    </w:p>
    <w:p w:rsidR="00B16725" w:rsidRDefault="00B16725" w:rsidP="00A8081F">
      <w:pPr>
        <w:pStyle w:val="ListParagraph"/>
        <w:numPr>
          <w:ilvl w:val="0"/>
          <w:numId w:val="2"/>
        </w:numPr>
        <w:spacing w:after="120"/>
        <w:rPr>
          <w:rFonts w:ascii="Arial" w:hAnsi="Arial" w:cs="Arial"/>
          <w:sz w:val="18"/>
          <w:szCs w:val="18"/>
        </w:rPr>
      </w:pPr>
      <w:r>
        <w:rPr>
          <w:noProof/>
          <w:lang w:eastAsia="en-NZ"/>
        </w:rPr>
        <w:drawing>
          <wp:inline distT="0" distB="0" distL="0" distR="0" wp14:anchorId="5B7EF78E" wp14:editId="677EE4B6">
            <wp:extent cx="2331720" cy="60228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6697" cy="603575"/>
                    </a:xfrm>
                    <a:prstGeom prst="rect">
                      <a:avLst/>
                    </a:prstGeom>
                  </pic:spPr>
                </pic:pic>
              </a:graphicData>
            </a:graphic>
          </wp:inline>
        </w:drawing>
      </w:r>
    </w:p>
    <w:p w:rsidR="00B16725" w:rsidRDefault="00765ADE" w:rsidP="00A8081F">
      <w:pPr>
        <w:pStyle w:val="ListParagraph"/>
        <w:numPr>
          <w:ilvl w:val="0"/>
          <w:numId w:val="2"/>
        </w:numPr>
        <w:spacing w:after="120"/>
        <w:rPr>
          <w:rFonts w:ascii="Arial" w:hAnsi="Arial" w:cs="Arial"/>
          <w:sz w:val="18"/>
          <w:szCs w:val="18"/>
        </w:rPr>
      </w:pPr>
      <w:r>
        <w:rPr>
          <w:rFonts w:ascii="Arial" w:hAnsi="Arial" w:cs="Arial"/>
          <w:sz w:val="18"/>
          <w:szCs w:val="18"/>
        </w:rPr>
        <w:t>Proposed slab on grade suitable fdn</w:t>
      </w:r>
    </w:p>
    <w:p w:rsidR="00765ADE" w:rsidRDefault="00765ADE" w:rsidP="00765ADE">
      <w:pPr>
        <w:pStyle w:val="ListParagraph"/>
        <w:numPr>
          <w:ilvl w:val="0"/>
          <w:numId w:val="2"/>
        </w:numPr>
        <w:spacing w:after="120"/>
        <w:rPr>
          <w:rFonts w:ascii="Arial" w:hAnsi="Arial" w:cs="Arial"/>
          <w:sz w:val="18"/>
          <w:szCs w:val="18"/>
        </w:rPr>
      </w:pPr>
      <w:r>
        <w:rPr>
          <w:rFonts w:ascii="Arial" w:hAnsi="Arial" w:cs="Arial"/>
          <w:sz w:val="18"/>
          <w:szCs w:val="18"/>
        </w:rPr>
        <w:t xml:space="preserve">300mm layer of AP65 below concrete slab if placed on organic fill with UBC 150kPa, with geotextile </w:t>
      </w:r>
      <w:r w:rsidRPr="00765ADE">
        <w:rPr>
          <w:rFonts w:ascii="Arial" w:hAnsi="Arial" w:cs="Arial"/>
          <w:sz w:val="18"/>
          <w:szCs w:val="18"/>
        </w:rPr>
        <w:t>(Bidim A19 or equal)</w:t>
      </w:r>
      <w:r>
        <w:rPr>
          <w:rFonts w:ascii="Arial" w:hAnsi="Arial" w:cs="Arial"/>
          <w:sz w:val="18"/>
          <w:szCs w:val="18"/>
        </w:rPr>
        <w:t xml:space="preserve"> on base &amp; sides of excavation, geogrid </w:t>
      </w:r>
      <w:r w:rsidRPr="00765ADE">
        <w:rPr>
          <w:rFonts w:ascii="Arial" w:hAnsi="Arial" w:cs="Arial"/>
          <w:sz w:val="18"/>
          <w:szCs w:val="18"/>
        </w:rPr>
        <w:t xml:space="preserve">(Cirtex Duragrid 30/30 </w:t>
      </w:r>
      <w:r>
        <w:rPr>
          <w:rFonts w:ascii="Arial" w:hAnsi="Arial" w:cs="Arial"/>
          <w:sz w:val="18"/>
          <w:szCs w:val="18"/>
        </w:rPr>
        <w:t>or equal) over the textile; extending beyond bldg footprint a distance = depth of gravel; where over exc not possible on S &amp; W sides (site boundary) new slab section must be designed</w:t>
      </w:r>
    </w:p>
    <w:p w:rsidR="00765ADE" w:rsidRDefault="00765ADE" w:rsidP="00765ADE">
      <w:pPr>
        <w:pStyle w:val="ListParagraph"/>
        <w:numPr>
          <w:ilvl w:val="0"/>
          <w:numId w:val="2"/>
        </w:numPr>
        <w:spacing w:after="120"/>
        <w:rPr>
          <w:rFonts w:ascii="Arial" w:hAnsi="Arial" w:cs="Arial"/>
          <w:sz w:val="18"/>
          <w:szCs w:val="18"/>
        </w:rPr>
      </w:pPr>
      <w:r>
        <w:rPr>
          <w:rFonts w:ascii="Arial" w:hAnsi="Arial" w:cs="Arial"/>
          <w:sz w:val="18"/>
          <w:szCs w:val="18"/>
        </w:rPr>
        <w:t>Dwgs provided to geotech:</w:t>
      </w:r>
    </w:p>
    <w:p w:rsidR="00765ADE" w:rsidRDefault="00765ADE" w:rsidP="00765ADE">
      <w:pPr>
        <w:pStyle w:val="ListParagraph"/>
        <w:spacing w:after="120"/>
        <w:rPr>
          <w:rFonts w:ascii="Arial" w:hAnsi="Arial" w:cs="Arial"/>
          <w:sz w:val="18"/>
          <w:szCs w:val="18"/>
        </w:rPr>
      </w:pPr>
      <w:r>
        <w:rPr>
          <w:rFonts w:ascii="Arial" w:hAnsi="Arial" w:cs="Arial"/>
          <w:sz w:val="18"/>
          <w:szCs w:val="18"/>
        </w:rPr>
        <w:t>A9, A12, A13, A14, A15, A17, A18 Issue 1, Jan 2017</w:t>
      </w:r>
    </w:p>
    <w:p w:rsidR="00765ADE" w:rsidRDefault="00765ADE" w:rsidP="00765ADE">
      <w:pPr>
        <w:pStyle w:val="ListParagraph"/>
        <w:spacing w:after="120"/>
        <w:rPr>
          <w:rFonts w:ascii="Arial" w:hAnsi="Arial" w:cs="Arial"/>
          <w:sz w:val="18"/>
          <w:szCs w:val="18"/>
        </w:rPr>
      </w:pPr>
      <w:r>
        <w:rPr>
          <w:noProof/>
          <w:lang w:eastAsia="en-NZ"/>
        </w:rPr>
        <w:drawing>
          <wp:inline distT="0" distB="0" distL="0" distR="0" wp14:anchorId="3FDCF4D2" wp14:editId="44569A56">
            <wp:extent cx="5405120" cy="272867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2406" cy="2732354"/>
                    </a:xfrm>
                    <a:prstGeom prst="rect">
                      <a:avLst/>
                    </a:prstGeom>
                  </pic:spPr>
                </pic:pic>
              </a:graphicData>
            </a:graphic>
          </wp:inline>
        </w:drawing>
      </w:r>
    </w:p>
    <w:p w:rsidR="00765ADE" w:rsidRDefault="00765ADE" w:rsidP="00765ADE">
      <w:pPr>
        <w:pStyle w:val="ListParagraph"/>
        <w:spacing w:after="120"/>
        <w:rPr>
          <w:noProof/>
          <w:lang w:eastAsia="en-NZ"/>
        </w:rPr>
      </w:pPr>
      <w:r>
        <w:rPr>
          <w:noProof/>
          <w:lang w:eastAsia="en-NZ"/>
        </w:rPr>
        <w:drawing>
          <wp:inline distT="0" distB="0" distL="0" distR="0" wp14:anchorId="0A0430EF" wp14:editId="76546542">
            <wp:extent cx="2889250" cy="1905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0021" cy="1905508"/>
                    </a:xfrm>
                    <a:prstGeom prst="rect">
                      <a:avLst/>
                    </a:prstGeom>
                  </pic:spPr>
                </pic:pic>
              </a:graphicData>
            </a:graphic>
          </wp:inline>
        </w:drawing>
      </w:r>
      <w:r w:rsidRPr="00765ADE">
        <w:rPr>
          <w:noProof/>
          <w:lang w:eastAsia="en-NZ"/>
        </w:rPr>
        <w:t xml:space="preserve"> </w:t>
      </w:r>
      <w:r>
        <w:rPr>
          <w:noProof/>
          <w:lang w:eastAsia="en-NZ"/>
        </w:rPr>
        <w:drawing>
          <wp:inline distT="0" distB="0" distL="0" distR="0" wp14:anchorId="14F16719" wp14:editId="6DA5FEA9">
            <wp:extent cx="1447216" cy="130048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775" cy="1300982"/>
                    </a:xfrm>
                    <a:prstGeom prst="rect">
                      <a:avLst/>
                    </a:prstGeom>
                  </pic:spPr>
                </pic:pic>
              </a:graphicData>
            </a:graphic>
          </wp:inline>
        </w:drawing>
      </w:r>
    </w:p>
    <w:p w:rsidR="0051010C" w:rsidRDefault="00765ADE" w:rsidP="0051010C">
      <w:pPr>
        <w:spacing w:after="120"/>
        <w:rPr>
          <w:rFonts w:ascii="Arial" w:hAnsi="Arial" w:cs="Arial"/>
          <w:sz w:val="18"/>
          <w:szCs w:val="18"/>
        </w:rPr>
      </w:pPr>
      <w:r>
        <w:rPr>
          <w:noProof/>
          <w:lang w:eastAsia="en-NZ"/>
        </w:rPr>
        <w:lastRenderedPageBreak/>
        <w:drawing>
          <wp:anchor distT="0" distB="0" distL="114300" distR="114300" simplePos="0" relativeHeight="251658240" behindDoc="0" locked="0" layoutInCell="1" allowOverlap="1">
            <wp:simplePos x="909320" y="6690360"/>
            <wp:positionH relativeFrom="column">
              <wp:align>left</wp:align>
            </wp:positionH>
            <wp:positionV relativeFrom="paragraph">
              <wp:align>top</wp:align>
            </wp:positionV>
            <wp:extent cx="4399280" cy="1748790"/>
            <wp:effectExtent l="0" t="0" r="127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9280" cy="1748790"/>
                    </a:xfrm>
                    <a:prstGeom prst="rect">
                      <a:avLst/>
                    </a:prstGeom>
                  </pic:spPr>
                </pic:pic>
              </a:graphicData>
            </a:graphic>
          </wp:anchor>
        </w:drawing>
      </w:r>
      <w:r>
        <w:rPr>
          <w:rFonts w:ascii="Arial" w:hAnsi="Arial" w:cs="Arial"/>
          <w:sz w:val="18"/>
          <w:szCs w:val="18"/>
        </w:rPr>
        <w:br w:type="textWrapping" w:clear="all"/>
      </w:r>
      <w:r w:rsidR="0051010C">
        <w:rPr>
          <w:rFonts w:ascii="Arial" w:hAnsi="Arial" w:cs="Arial"/>
          <w:sz w:val="18"/>
          <w:szCs w:val="18"/>
        </w:rPr>
        <w:t>p.31 PS1 subject to safe bearing pressure of 50kPa or more (UBC 150kPa)</w:t>
      </w:r>
    </w:p>
    <w:p w:rsidR="0051010C" w:rsidRDefault="0051010C" w:rsidP="0051010C">
      <w:pPr>
        <w:spacing w:after="120"/>
        <w:rPr>
          <w:rFonts w:ascii="Arial" w:hAnsi="Arial" w:cs="Arial"/>
          <w:sz w:val="18"/>
          <w:szCs w:val="18"/>
        </w:rPr>
      </w:pPr>
      <w:r>
        <w:rPr>
          <w:rFonts w:ascii="Arial" w:hAnsi="Arial" w:cs="Arial"/>
          <w:sz w:val="18"/>
          <w:szCs w:val="18"/>
        </w:rPr>
        <w:t>p.33  DFR, Structex 14 Dec 2016</w:t>
      </w:r>
    </w:p>
    <w:p w:rsidR="00D05DE0" w:rsidRDefault="00D05DE0" w:rsidP="0051010C">
      <w:pPr>
        <w:spacing w:after="120"/>
        <w:rPr>
          <w:rFonts w:ascii="Arial" w:hAnsi="Arial" w:cs="Arial"/>
          <w:sz w:val="18"/>
          <w:szCs w:val="18"/>
        </w:rPr>
      </w:pPr>
      <w:r>
        <w:rPr>
          <w:noProof/>
          <w:lang w:eastAsia="en-NZ"/>
        </w:rPr>
        <w:drawing>
          <wp:inline distT="0" distB="0" distL="0" distR="0" wp14:anchorId="5C554393" wp14:editId="6A2DA56E">
            <wp:extent cx="5988994" cy="115817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8994" cy="1158177"/>
                    </a:xfrm>
                    <a:prstGeom prst="rect">
                      <a:avLst/>
                    </a:prstGeom>
                  </pic:spPr>
                </pic:pic>
              </a:graphicData>
            </a:graphic>
          </wp:inline>
        </w:drawing>
      </w:r>
      <w:r w:rsidR="0051010C">
        <w:rPr>
          <w:rFonts w:ascii="Arial" w:hAnsi="Arial" w:cs="Arial"/>
          <w:sz w:val="18"/>
          <w:szCs w:val="18"/>
        </w:rPr>
        <w:tab/>
      </w:r>
    </w:p>
    <w:p w:rsidR="0051010C" w:rsidRDefault="0051010C" w:rsidP="0051010C">
      <w:pPr>
        <w:spacing w:after="120"/>
        <w:rPr>
          <w:rFonts w:ascii="Arial" w:hAnsi="Arial" w:cs="Arial"/>
          <w:sz w:val="18"/>
          <w:szCs w:val="18"/>
        </w:rPr>
      </w:pPr>
      <w:r>
        <w:rPr>
          <w:noProof/>
          <w:lang w:eastAsia="en-NZ"/>
        </w:rPr>
        <w:drawing>
          <wp:inline distT="0" distB="0" distL="0" distR="0" wp14:anchorId="7F63BF21" wp14:editId="461D5FBB">
            <wp:extent cx="4185692" cy="5333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5692" cy="533371"/>
                    </a:xfrm>
                    <a:prstGeom prst="rect">
                      <a:avLst/>
                    </a:prstGeom>
                  </pic:spPr>
                </pic:pic>
              </a:graphicData>
            </a:graphic>
          </wp:inline>
        </w:drawing>
      </w:r>
    </w:p>
    <w:p w:rsidR="0051010C" w:rsidRDefault="0051010C" w:rsidP="0051010C">
      <w:pPr>
        <w:spacing w:after="120"/>
        <w:rPr>
          <w:rFonts w:ascii="Arial" w:hAnsi="Arial" w:cs="Arial"/>
          <w:sz w:val="18"/>
          <w:szCs w:val="18"/>
        </w:rPr>
      </w:pPr>
      <w:r>
        <w:rPr>
          <w:rFonts w:ascii="Arial" w:hAnsi="Arial" w:cs="Arial"/>
          <w:b/>
          <w:sz w:val="18"/>
          <w:szCs w:val="18"/>
        </w:rPr>
        <w:t>PLANS</w:t>
      </w:r>
    </w:p>
    <w:p w:rsidR="0051010C" w:rsidRDefault="00D638BC" w:rsidP="0051010C">
      <w:pPr>
        <w:spacing w:after="120"/>
        <w:rPr>
          <w:rFonts w:ascii="Arial" w:hAnsi="Arial" w:cs="Arial"/>
          <w:sz w:val="18"/>
          <w:szCs w:val="18"/>
        </w:rPr>
      </w:pPr>
      <w:r>
        <w:rPr>
          <w:rFonts w:ascii="Arial" w:hAnsi="Arial" w:cs="Arial"/>
          <w:sz w:val="18"/>
          <w:szCs w:val="18"/>
        </w:rPr>
        <w:t>Arch only</w:t>
      </w:r>
    </w:p>
    <w:p w:rsidR="0051010C" w:rsidRDefault="0051010C" w:rsidP="0051010C">
      <w:pPr>
        <w:spacing w:after="120"/>
        <w:rPr>
          <w:rFonts w:ascii="Arial" w:hAnsi="Arial" w:cs="Arial"/>
          <w:sz w:val="18"/>
          <w:szCs w:val="18"/>
        </w:rPr>
      </w:pPr>
    </w:p>
    <w:p w:rsidR="0051010C" w:rsidRPr="0051010C" w:rsidRDefault="0051010C" w:rsidP="0051010C">
      <w:pPr>
        <w:spacing w:after="120"/>
        <w:rPr>
          <w:rFonts w:ascii="Arial" w:hAnsi="Arial" w:cs="Arial"/>
          <w:sz w:val="18"/>
          <w:szCs w:val="18"/>
        </w:rPr>
      </w:pPr>
      <w:r>
        <w:rPr>
          <w:rFonts w:ascii="Arial" w:hAnsi="Arial" w:cs="Arial"/>
          <w:b/>
          <w:sz w:val="18"/>
          <w:szCs w:val="18"/>
        </w:rPr>
        <w:t xml:space="preserve">SPECS </w:t>
      </w:r>
      <w:r>
        <w:rPr>
          <w:rFonts w:ascii="Arial" w:hAnsi="Arial" w:cs="Arial"/>
          <w:sz w:val="18"/>
          <w:szCs w:val="18"/>
        </w:rPr>
        <w:t>(arch)</w:t>
      </w:r>
    </w:p>
    <w:p w:rsidR="0051010C" w:rsidRDefault="0051010C" w:rsidP="0051010C">
      <w:pPr>
        <w:spacing w:after="120"/>
        <w:rPr>
          <w:rFonts w:ascii="Arial" w:hAnsi="Arial" w:cs="Arial"/>
          <w:sz w:val="18"/>
          <w:szCs w:val="18"/>
        </w:rPr>
      </w:pPr>
      <w:r w:rsidRPr="0051010C">
        <w:rPr>
          <w:rFonts w:ascii="Arial" w:hAnsi="Arial" w:cs="Arial"/>
          <w:sz w:val="18"/>
          <w:szCs w:val="18"/>
        </w:rPr>
        <w:t>2.4.1 excavation</w:t>
      </w:r>
    </w:p>
    <w:p w:rsidR="0051010C" w:rsidRPr="0051010C" w:rsidRDefault="0051010C" w:rsidP="0051010C">
      <w:pPr>
        <w:spacing w:after="120"/>
        <w:rPr>
          <w:rFonts w:ascii="Arial" w:hAnsi="Arial" w:cs="Arial"/>
          <w:sz w:val="18"/>
          <w:szCs w:val="18"/>
        </w:rPr>
      </w:pPr>
      <w:r w:rsidRPr="0051010C">
        <w:rPr>
          <w:rFonts w:ascii="Arial" w:hAnsi="Arial" w:cs="Arial"/>
          <w:sz w:val="18"/>
          <w:szCs w:val="18"/>
        </w:rPr>
        <w:t>Excavations down to firm undisturbed ground, and footings and foundations 200mm minimum into solid, except where shown otherwise.</w:t>
      </w:r>
    </w:p>
    <w:p w:rsidR="0051010C" w:rsidRDefault="0051010C" w:rsidP="0051010C">
      <w:pPr>
        <w:spacing w:after="120"/>
        <w:rPr>
          <w:rFonts w:ascii="Arial" w:hAnsi="Arial" w:cs="Arial"/>
          <w:sz w:val="18"/>
          <w:szCs w:val="18"/>
        </w:rPr>
      </w:pPr>
      <w:r w:rsidRPr="0051010C">
        <w:rPr>
          <w:rFonts w:ascii="Arial" w:hAnsi="Arial" w:cs="Arial"/>
          <w:sz w:val="18"/>
          <w:szCs w:val="18"/>
        </w:rPr>
        <w:t xml:space="preserve">Below slabs on ground the general intent is to </w:t>
      </w:r>
      <w:r w:rsidRPr="0051010C">
        <w:rPr>
          <w:rFonts w:ascii="Arial" w:hAnsi="Arial" w:cs="Arial"/>
          <w:sz w:val="18"/>
          <w:szCs w:val="18"/>
          <w:highlight w:val="yellow"/>
        </w:rPr>
        <w:t>excavate to a stable undisturbed subgrade (of 300 kPa ultimate bearing capacity).</w:t>
      </w:r>
    </w:p>
    <w:p w:rsidR="0051010C" w:rsidRDefault="00D638BC" w:rsidP="00D638BC">
      <w:pPr>
        <w:spacing w:after="120"/>
        <w:rPr>
          <w:rFonts w:ascii="Arial" w:hAnsi="Arial" w:cs="Arial"/>
          <w:sz w:val="18"/>
          <w:szCs w:val="18"/>
        </w:rPr>
      </w:pPr>
      <w:r w:rsidRPr="00D638BC">
        <w:rPr>
          <w:rFonts w:ascii="Arial" w:hAnsi="Arial" w:cs="Arial"/>
          <w:sz w:val="18"/>
          <w:szCs w:val="18"/>
        </w:rPr>
        <w:t xml:space="preserve">As soon as excavation and filling is complete </w:t>
      </w:r>
      <w:r w:rsidRPr="00D638BC">
        <w:rPr>
          <w:rFonts w:ascii="Arial" w:hAnsi="Arial" w:cs="Arial"/>
          <w:sz w:val="18"/>
          <w:szCs w:val="18"/>
          <w:highlight w:val="yellow"/>
        </w:rPr>
        <w:t>foundation material will be inspected by the</w:t>
      </w:r>
      <w:r w:rsidRPr="00D638BC">
        <w:rPr>
          <w:rFonts w:ascii="Arial" w:hAnsi="Arial" w:cs="Arial"/>
          <w:sz w:val="18"/>
          <w:szCs w:val="18"/>
        </w:rPr>
        <w:t xml:space="preserve"> </w:t>
      </w:r>
      <w:r w:rsidRPr="00D638BC">
        <w:rPr>
          <w:rFonts w:ascii="Arial" w:hAnsi="Arial" w:cs="Arial"/>
          <w:sz w:val="18"/>
          <w:szCs w:val="18"/>
          <w:highlight w:val="yellow"/>
        </w:rPr>
        <w:t>Architect</w:t>
      </w:r>
      <w:r w:rsidRPr="00D638BC">
        <w:rPr>
          <w:rFonts w:ascii="Arial" w:hAnsi="Arial" w:cs="Arial"/>
          <w:sz w:val="18"/>
          <w:szCs w:val="18"/>
        </w:rPr>
        <w:t>, and any changes to foundation widths/details will be directed.</w:t>
      </w:r>
    </w:p>
    <w:p w:rsidR="00D638BC" w:rsidRPr="00D638BC" w:rsidRDefault="00D638BC" w:rsidP="00D638BC">
      <w:pPr>
        <w:spacing w:after="120"/>
        <w:rPr>
          <w:rFonts w:ascii="Arial" w:hAnsi="Arial" w:cs="Arial"/>
          <w:sz w:val="18"/>
          <w:szCs w:val="18"/>
        </w:rPr>
      </w:pPr>
      <w:r w:rsidRPr="00D638BC">
        <w:rPr>
          <w:rFonts w:ascii="Arial" w:hAnsi="Arial" w:cs="Arial"/>
          <w:sz w:val="18"/>
          <w:szCs w:val="18"/>
        </w:rPr>
        <w:t>2.4.2 Hardfill &amp; Blinding</w:t>
      </w:r>
    </w:p>
    <w:p w:rsidR="00D638BC" w:rsidRPr="0051010C" w:rsidRDefault="00D638BC" w:rsidP="00D638BC">
      <w:pPr>
        <w:spacing w:after="120"/>
        <w:rPr>
          <w:rFonts w:ascii="Arial" w:hAnsi="Arial" w:cs="Arial"/>
          <w:sz w:val="18"/>
          <w:szCs w:val="18"/>
        </w:rPr>
      </w:pPr>
      <w:r w:rsidRPr="00D638BC">
        <w:rPr>
          <w:rFonts w:ascii="Arial" w:hAnsi="Arial" w:cs="Arial"/>
          <w:sz w:val="18"/>
          <w:szCs w:val="18"/>
        </w:rPr>
        <w:t>Hardfill under slabs on grade shall be 150mm of standard TNZ AP40 basecourse free of clay or organic matter compacted to 95% relative compaction in accordance with NZS 4402 Test 4.1.1.</w:t>
      </w:r>
    </w:p>
    <w:p w:rsidR="00890FEE" w:rsidRDefault="00D638BC" w:rsidP="00890FEE">
      <w:pPr>
        <w:spacing w:after="120"/>
        <w:rPr>
          <w:rFonts w:ascii="Arial" w:hAnsi="Arial" w:cs="Arial"/>
          <w:color w:val="002060"/>
          <w:sz w:val="18"/>
          <w:szCs w:val="18"/>
        </w:rPr>
      </w:pPr>
      <w:r>
        <w:rPr>
          <w:rFonts w:ascii="Arial" w:hAnsi="Arial" w:cs="Arial"/>
          <w:color w:val="FF0000"/>
          <w:sz w:val="18"/>
          <w:szCs w:val="18"/>
        </w:rPr>
        <w:t>RFI 5/4/17</w:t>
      </w:r>
      <w:r w:rsidR="00890FEE">
        <w:rPr>
          <w:rFonts w:ascii="Arial" w:hAnsi="Arial" w:cs="Arial"/>
          <w:color w:val="FF0000"/>
          <w:sz w:val="18"/>
          <w:szCs w:val="18"/>
        </w:rPr>
        <w:t xml:space="preserve">; </w:t>
      </w:r>
      <w:r w:rsidR="00890FEE">
        <w:rPr>
          <w:rFonts w:ascii="Arial" w:hAnsi="Arial" w:cs="Arial"/>
          <w:color w:val="002060"/>
          <w:sz w:val="18"/>
          <w:szCs w:val="18"/>
        </w:rPr>
        <w:t xml:space="preserve">13/7/17 Response </w:t>
      </w:r>
    </w:p>
    <w:p w:rsidR="00D638BC" w:rsidRDefault="00D638BC" w:rsidP="00D638BC">
      <w:pPr>
        <w:pStyle w:val="ListParagraph"/>
        <w:numPr>
          <w:ilvl w:val="0"/>
          <w:numId w:val="4"/>
        </w:numPr>
        <w:spacing w:after="0" w:line="240" w:lineRule="auto"/>
        <w:rPr>
          <w:rFonts w:ascii="Calibri" w:eastAsia="Times New Roman" w:hAnsi="Calibri" w:cs="Arial"/>
          <w:color w:val="FF0000"/>
          <w:sz w:val="20"/>
          <w:szCs w:val="20"/>
          <w:lang w:eastAsia="en-NZ"/>
        </w:rPr>
      </w:pPr>
      <w:r w:rsidRPr="00D638BC">
        <w:rPr>
          <w:rFonts w:ascii="Calibri" w:eastAsia="Times New Roman" w:hAnsi="Calibri" w:cs="Arial"/>
          <w:color w:val="FF0000"/>
          <w:sz w:val="20"/>
          <w:szCs w:val="20"/>
          <w:lang w:eastAsia="en-NZ"/>
        </w:rPr>
        <w:t>please provide Engco geotechnical report for 83 Byron St</w:t>
      </w:r>
    </w:p>
    <w:p w:rsidR="00890FEE" w:rsidRDefault="00890FEE" w:rsidP="00890FEE">
      <w:pPr>
        <w:pStyle w:val="ListParagraph"/>
        <w:spacing w:after="120"/>
        <w:rPr>
          <w:rFonts w:ascii="Arial" w:hAnsi="Arial" w:cs="Arial"/>
          <w:color w:val="002060"/>
          <w:sz w:val="18"/>
          <w:szCs w:val="18"/>
        </w:rPr>
      </w:pPr>
      <w:r w:rsidRPr="00E8253B">
        <w:rPr>
          <w:rFonts w:ascii="Arial" w:hAnsi="Arial" w:cs="Arial"/>
          <w:color w:val="002060"/>
          <w:sz w:val="18"/>
          <w:szCs w:val="18"/>
        </w:rPr>
        <w:t>Refer</w:t>
      </w:r>
      <w:r>
        <w:rPr>
          <w:rFonts w:ascii="Arial" w:hAnsi="Arial" w:cs="Arial"/>
          <w:color w:val="002060"/>
          <w:sz w:val="18"/>
          <w:szCs w:val="18"/>
        </w:rPr>
        <w:t xml:space="preserve"> </w:t>
      </w:r>
      <w:r w:rsidRPr="00E8253B">
        <w:rPr>
          <w:rFonts w:ascii="Arial" w:hAnsi="Arial" w:cs="Arial"/>
          <w:color w:val="002060"/>
          <w:sz w:val="18"/>
          <w:szCs w:val="18"/>
        </w:rPr>
        <w:t>to</w:t>
      </w:r>
      <w:r>
        <w:rPr>
          <w:rFonts w:ascii="Arial" w:hAnsi="Arial" w:cs="Arial"/>
          <w:color w:val="002060"/>
          <w:sz w:val="18"/>
          <w:szCs w:val="18"/>
        </w:rPr>
        <w:t xml:space="preserve"> </w:t>
      </w:r>
      <w:r w:rsidRPr="00E8253B">
        <w:rPr>
          <w:rFonts w:ascii="Arial" w:hAnsi="Arial" w:cs="Arial"/>
          <w:color w:val="002060"/>
          <w:sz w:val="18"/>
          <w:szCs w:val="18"/>
        </w:rPr>
        <w:t>the</w:t>
      </w:r>
      <w:r>
        <w:rPr>
          <w:rFonts w:ascii="Arial" w:hAnsi="Arial" w:cs="Arial"/>
          <w:color w:val="002060"/>
          <w:sz w:val="18"/>
          <w:szCs w:val="18"/>
        </w:rPr>
        <w:t xml:space="preserve"> </w:t>
      </w:r>
      <w:r w:rsidRPr="00E8253B">
        <w:rPr>
          <w:rFonts w:ascii="Arial" w:hAnsi="Arial" w:cs="Arial"/>
          <w:color w:val="002060"/>
          <w:sz w:val="18"/>
          <w:szCs w:val="18"/>
        </w:rPr>
        <w:t>EDC</w:t>
      </w:r>
      <w:r>
        <w:rPr>
          <w:rFonts w:ascii="Arial" w:hAnsi="Arial" w:cs="Arial"/>
          <w:color w:val="002060"/>
          <w:sz w:val="18"/>
          <w:szCs w:val="18"/>
        </w:rPr>
        <w:t xml:space="preserve"> </w:t>
      </w:r>
      <w:r w:rsidRPr="00E8253B">
        <w:rPr>
          <w:rFonts w:ascii="Arial" w:hAnsi="Arial" w:cs="Arial"/>
          <w:color w:val="002060"/>
          <w:sz w:val="18"/>
          <w:szCs w:val="18"/>
        </w:rPr>
        <w:t>Geotechnical</w:t>
      </w:r>
      <w:r>
        <w:rPr>
          <w:rFonts w:ascii="Arial" w:hAnsi="Arial" w:cs="Arial"/>
          <w:color w:val="002060"/>
          <w:sz w:val="18"/>
          <w:szCs w:val="18"/>
        </w:rPr>
        <w:t xml:space="preserve"> </w:t>
      </w:r>
      <w:r w:rsidRPr="00E8253B">
        <w:rPr>
          <w:rFonts w:ascii="Arial" w:hAnsi="Arial" w:cs="Arial"/>
          <w:color w:val="002060"/>
          <w:sz w:val="18"/>
          <w:szCs w:val="18"/>
        </w:rPr>
        <w:t>report</w:t>
      </w:r>
      <w:r>
        <w:rPr>
          <w:rFonts w:ascii="Arial" w:hAnsi="Arial" w:cs="Arial"/>
          <w:color w:val="002060"/>
          <w:sz w:val="18"/>
          <w:szCs w:val="18"/>
        </w:rPr>
        <w:t xml:space="preserve"> </w:t>
      </w:r>
      <w:r w:rsidRPr="00E8253B">
        <w:rPr>
          <w:rFonts w:ascii="Arial" w:hAnsi="Arial" w:cs="Arial"/>
          <w:color w:val="002060"/>
          <w:sz w:val="18"/>
          <w:szCs w:val="18"/>
        </w:rPr>
        <w:t>supplied</w:t>
      </w:r>
      <w:r>
        <w:rPr>
          <w:rFonts w:ascii="Arial" w:hAnsi="Arial" w:cs="Arial"/>
          <w:color w:val="002060"/>
          <w:sz w:val="18"/>
          <w:szCs w:val="18"/>
        </w:rPr>
        <w:t xml:space="preserve"> </w:t>
      </w:r>
      <w:r w:rsidRPr="00E8253B">
        <w:rPr>
          <w:rFonts w:ascii="Arial" w:hAnsi="Arial" w:cs="Arial"/>
          <w:color w:val="002060"/>
          <w:sz w:val="18"/>
          <w:szCs w:val="18"/>
        </w:rPr>
        <w:t>within</w:t>
      </w:r>
      <w:r>
        <w:rPr>
          <w:rFonts w:ascii="Arial" w:hAnsi="Arial" w:cs="Arial"/>
          <w:color w:val="002060"/>
          <w:sz w:val="18"/>
          <w:szCs w:val="18"/>
        </w:rPr>
        <w:t xml:space="preserve"> </w:t>
      </w:r>
      <w:r w:rsidRPr="00E8253B">
        <w:rPr>
          <w:rFonts w:ascii="Arial" w:hAnsi="Arial" w:cs="Arial"/>
          <w:color w:val="002060"/>
          <w:sz w:val="18"/>
          <w:szCs w:val="18"/>
        </w:rPr>
        <w:t>these</w:t>
      </w:r>
      <w:r>
        <w:rPr>
          <w:rFonts w:ascii="Arial" w:hAnsi="Arial" w:cs="Arial"/>
          <w:color w:val="002060"/>
          <w:sz w:val="18"/>
          <w:szCs w:val="18"/>
        </w:rPr>
        <w:t xml:space="preserve"> </w:t>
      </w:r>
      <w:r w:rsidRPr="00E8253B">
        <w:rPr>
          <w:rFonts w:ascii="Arial" w:hAnsi="Arial" w:cs="Arial"/>
          <w:color w:val="002060"/>
          <w:sz w:val="18"/>
          <w:szCs w:val="18"/>
        </w:rPr>
        <w:t>documents</w:t>
      </w:r>
      <w:r>
        <w:rPr>
          <w:rFonts w:ascii="Arial" w:hAnsi="Arial" w:cs="Arial"/>
          <w:color w:val="002060"/>
          <w:sz w:val="18"/>
          <w:szCs w:val="18"/>
        </w:rPr>
        <w:t xml:space="preserve"> </w:t>
      </w:r>
    </w:p>
    <w:p w:rsidR="00D638BC" w:rsidRDefault="00D638BC" w:rsidP="00D638BC">
      <w:pPr>
        <w:pStyle w:val="ListParagraph"/>
        <w:numPr>
          <w:ilvl w:val="0"/>
          <w:numId w:val="4"/>
        </w:numPr>
        <w:spacing w:after="0" w:line="240" w:lineRule="auto"/>
        <w:rPr>
          <w:rFonts w:ascii="Calibri" w:eastAsia="Times New Roman" w:hAnsi="Calibri" w:cs="Arial"/>
          <w:color w:val="FF0000"/>
          <w:sz w:val="20"/>
          <w:szCs w:val="20"/>
          <w:lang w:eastAsia="en-NZ"/>
        </w:rPr>
      </w:pPr>
      <w:r>
        <w:rPr>
          <w:rFonts w:ascii="Calibri" w:eastAsia="Times New Roman" w:hAnsi="Calibri" w:cs="Arial"/>
          <w:color w:val="FF0000"/>
          <w:sz w:val="20"/>
          <w:szCs w:val="20"/>
          <w:lang w:eastAsia="en-NZ"/>
        </w:rPr>
        <w:t>Please compare foundation for existing building to the foundation for the proposed extension since the two will be structurally connected.</w:t>
      </w:r>
    </w:p>
    <w:p w:rsidR="00890FEE" w:rsidRDefault="00890FEE" w:rsidP="00890FEE">
      <w:pPr>
        <w:pStyle w:val="ListParagraph"/>
        <w:spacing w:after="0" w:line="240" w:lineRule="auto"/>
        <w:rPr>
          <w:rFonts w:ascii="Calibri" w:eastAsia="Times New Roman" w:hAnsi="Calibri" w:cs="Arial"/>
          <w:color w:val="FF0000"/>
          <w:sz w:val="20"/>
          <w:szCs w:val="20"/>
          <w:lang w:eastAsia="en-NZ"/>
        </w:rPr>
      </w:pPr>
      <w:r w:rsidRPr="00890FEE">
        <w:rPr>
          <w:rFonts w:ascii="Arial" w:hAnsi="Arial" w:cs="Arial"/>
          <w:color w:val="002060"/>
          <w:sz w:val="18"/>
          <w:szCs w:val="18"/>
        </w:rPr>
        <w:t>Refer to the structural calculations provided with the Structex engineering report supplied within these Documents.</w:t>
      </w:r>
    </w:p>
    <w:p w:rsidR="00D638BC" w:rsidRDefault="00D638BC" w:rsidP="00D638BC">
      <w:pPr>
        <w:pStyle w:val="ListParagraph"/>
        <w:numPr>
          <w:ilvl w:val="0"/>
          <w:numId w:val="4"/>
        </w:numPr>
        <w:spacing w:after="0" w:line="240" w:lineRule="auto"/>
        <w:rPr>
          <w:rFonts w:ascii="Calibri" w:eastAsia="Times New Roman" w:hAnsi="Calibri" w:cs="Arial"/>
          <w:color w:val="FF0000"/>
          <w:sz w:val="20"/>
          <w:szCs w:val="20"/>
          <w:lang w:eastAsia="en-NZ"/>
        </w:rPr>
      </w:pPr>
      <w:r>
        <w:rPr>
          <w:rFonts w:ascii="Calibri" w:eastAsia="Times New Roman" w:hAnsi="Calibri" w:cs="Arial"/>
          <w:color w:val="FF0000"/>
          <w:sz w:val="20"/>
          <w:szCs w:val="20"/>
          <w:lang w:eastAsia="en-NZ"/>
        </w:rPr>
        <w:t>Specification section 2.4.1 Excavation states: “</w:t>
      </w:r>
      <w:r>
        <w:rPr>
          <w:rFonts w:ascii="Calibri" w:eastAsia="Times New Roman" w:hAnsi="Calibri" w:cs="Arial"/>
          <w:i/>
          <w:color w:val="FF0000"/>
          <w:sz w:val="20"/>
          <w:szCs w:val="20"/>
          <w:lang w:eastAsia="en-NZ"/>
        </w:rPr>
        <w:t>Below slabs on ground the general intent is to excavate to a stable undisturbed subgrade (of 300kPa ultimate bearing capacity).”</w:t>
      </w:r>
      <w:r>
        <w:rPr>
          <w:rFonts w:ascii="Calibri" w:eastAsia="Times New Roman" w:hAnsi="Calibri" w:cs="Arial"/>
          <w:color w:val="FF0000"/>
          <w:sz w:val="20"/>
          <w:szCs w:val="20"/>
          <w:lang w:eastAsia="en-NZ"/>
        </w:rPr>
        <w:t xml:space="preserve"> This is inconsistent with the </w:t>
      </w:r>
      <w:r w:rsidR="00394458">
        <w:rPr>
          <w:rFonts w:ascii="Calibri" w:eastAsia="Times New Roman" w:hAnsi="Calibri" w:cs="Arial"/>
          <w:color w:val="FF0000"/>
          <w:sz w:val="20"/>
          <w:szCs w:val="20"/>
          <w:lang w:eastAsia="en-NZ"/>
        </w:rPr>
        <w:t xml:space="preserve">PS1 </w:t>
      </w:r>
      <w:r>
        <w:rPr>
          <w:rFonts w:ascii="Calibri" w:eastAsia="Times New Roman" w:hAnsi="Calibri" w:cs="Arial"/>
          <w:color w:val="FF0000"/>
          <w:sz w:val="20"/>
          <w:szCs w:val="20"/>
          <w:lang w:eastAsia="en-NZ"/>
        </w:rPr>
        <w:t xml:space="preserve">and the geotechnical letter which indicate </w:t>
      </w:r>
      <w:r w:rsidR="00394458">
        <w:rPr>
          <w:rFonts w:ascii="Calibri" w:eastAsia="Times New Roman" w:hAnsi="Calibri" w:cs="Arial"/>
          <w:color w:val="FF0000"/>
          <w:sz w:val="20"/>
          <w:szCs w:val="20"/>
          <w:lang w:eastAsia="en-NZ"/>
        </w:rPr>
        <w:t xml:space="preserve">the foundation was designed for a safe bearing of 50kPa (which I understand to be equivalent to an ultimate bearing capacity of 150kPa which was recommended by the geotechnical letter). Please amend specification. </w:t>
      </w:r>
    </w:p>
    <w:p w:rsidR="00890FEE" w:rsidRDefault="00890FEE" w:rsidP="00890FEE">
      <w:pPr>
        <w:spacing w:after="0" w:line="240" w:lineRule="auto"/>
        <w:ind w:left="720"/>
        <w:rPr>
          <w:rFonts w:ascii="Arial" w:hAnsi="Arial" w:cs="Arial"/>
          <w:color w:val="002060"/>
          <w:sz w:val="18"/>
          <w:szCs w:val="18"/>
        </w:rPr>
      </w:pPr>
      <w:r w:rsidRPr="00890FEE">
        <w:rPr>
          <w:rFonts w:ascii="Arial" w:hAnsi="Arial" w:cs="Arial"/>
          <w:color w:val="002060"/>
          <w:sz w:val="18"/>
          <w:szCs w:val="18"/>
        </w:rPr>
        <w:t>Refer to Project specification document section 2.4.1</w:t>
      </w:r>
    </w:p>
    <w:p w:rsidR="00890FEE" w:rsidRPr="00890FEE" w:rsidRDefault="00890FEE" w:rsidP="00890FEE">
      <w:pPr>
        <w:spacing w:after="0" w:line="240" w:lineRule="auto"/>
        <w:ind w:left="720"/>
        <w:rPr>
          <w:rFonts w:ascii="Calibri" w:eastAsia="Times New Roman" w:hAnsi="Calibri" w:cs="Arial"/>
          <w:color w:val="FF0000"/>
          <w:sz w:val="20"/>
          <w:szCs w:val="20"/>
          <w:lang w:eastAsia="en-NZ"/>
        </w:rPr>
      </w:pPr>
      <w:r>
        <w:rPr>
          <w:noProof/>
          <w:lang w:eastAsia="en-NZ"/>
        </w:rPr>
        <w:drawing>
          <wp:inline distT="0" distB="0" distL="0" distR="0" wp14:anchorId="5F664A25" wp14:editId="4546B483">
            <wp:extent cx="3719512" cy="30242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2257" cy="305084"/>
                    </a:xfrm>
                    <a:prstGeom prst="rect">
                      <a:avLst/>
                    </a:prstGeom>
                  </pic:spPr>
                </pic:pic>
              </a:graphicData>
            </a:graphic>
          </wp:inline>
        </w:drawing>
      </w:r>
    </w:p>
    <w:p w:rsidR="00394458" w:rsidRDefault="00394458" w:rsidP="00394458">
      <w:pPr>
        <w:pStyle w:val="ListParagraph"/>
        <w:numPr>
          <w:ilvl w:val="0"/>
          <w:numId w:val="4"/>
        </w:numPr>
        <w:spacing w:after="0" w:line="240" w:lineRule="auto"/>
        <w:rPr>
          <w:rFonts w:ascii="Calibri" w:eastAsia="Times New Roman" w:hAnsi="Calibri" w:cs="Arial"/>
          <w:color w:val="FF0000"/>
          <w:sz w:val="20"/>
          <w:szCs w:val="20"/>
          <w:lang w:eastAsia="en-NZ"/>
        </w:rPr>
      </w:pPr>
      <w:r>
        <w:rPr>
          <w:rFonts w:ascii="Calibri" w:eastAsia="Times New Roman" w:hAnsi="Calibri" w:cs="Arial"/>
          <w:color w:val="FF0000"/>
          <w:sz w:val="20"/>
          <w:szCs w:val="20"/>
          <w:lang w:eastAsia="en-NZ"/>
        </w:rPr>
        <w:lastRenderedPageBreak/>
        <w:t xml:space="preserve">Specification section 2.4.1 Excavation also states </w:t>
      </w:r>
      <w:r>
        <w:rPr>
          <w:rFonts w:ascii="Calibri" w:eastAsia="Times New Roman" w:hAnsi="Calibri" w:cs="Arial"/>
          <w:i/>
          <w:color w:val="FF0000"/>
          <w:sz w:val="20"/>
          <w:szCs w:val="20"/>
          <w:lang w:eastAsia="en-NZ"/>
        </w:rPr>
        <w:t>“</w:t>
      </w:r>
      <w:r w:rsidRPr="00394458">
        <w:rPr>
          <w:rFonts w:ascii="Calibri" w:eastAsia="Times New Roman" w:hAnsi="Calibri" w:cs="Arial"/>
          <w:i/>
          <w:color w:val="FF0000"/>
          <w:sz w:val="20"/>
          <w:szCs w:val="20"/>
          <w:lang w:eastAsia="en-NZ"/>
        </w:rPr>
        <w:t>As soon as excavation and filling is complete foundation material wil</w:t>
      </w:r>
      <w:r>
        <w:rPr>
          <w:rFonts w:ascii="Calibri" w:eastAsia="Times New Roman" w:hAnsi="Calibri" w:cs="Arial"/>
          <w:i/>
          <w:color w:val="FF0000"/>
          <w:sz w:val="20"/>
          <w:szCs w:val="20"/>
          <w:lang w:eastAsia="en-NZ"/>
        </w:rPr>
        <w:t>l be inspected by the Architect…”</w:t>
      </w:r>
      <w:r>
        <w:rPr>
          <w:rFonts w:ascii="Calibri" w:eastAsia="Times New Roman" w:hAnsi="Calibri" w:cs="Arial"/>
          <w:color w:val="FF0000"/>
          <w:sz w:val="20"/>
          <w:szCs w:val="20"/>
          <w:lang w:eastAsia="en-NZ"/>
        </w:rPr>
        <w:t xml:space="preserve">. Please amend specification for foundation subgrade to be verified by the geotechnical engineer. </w:t>
      </w:r>
    </w:p>
    <w:p w:rsidR="00890FEE" w:rsidRDefault="00890FEE" w:rsidP="00890FEE">
      <w:pPr>
        <w:spacing w:after="0" w:line="240" w:lineRule="auto"/>
        <w:ind w:left="720"/>
        <w:rPr>
          <w:rFonts w:ascii="Arial" w:hAnsi="Arial" w:cs="Arial"/>
          <w:color w:val="002060"/>
          <w:sz w:val="18"/>
          <w:szCs w:val="18"/>
        </w:rPr>
      </w:pPr>
      <w:r w:rsidRPr="00890FEE">
        <w:rPr>
          <w:rFonts w:ascii="Arial" w:hAnsi="Arial" w:cs="Arial"/>
          <w:color w:val="002060"/>
          <w:sz w:val="18"/>
          <w:szCs w:val="18"/>
        </w:rPr>
        <w:t>Refer to Project specification document section 2.4.1</w:t>
      </w:r>
    </w:p>
    <w:p w:rsidR="00890FEE" w:rsidRPr="00890FEE" w:rsidRDefault="00890FEE" w:rsidP="00890FEE">
      <w:pPr>
        <w:spacing w:after="0" w:line="240" w:lineRule="auto"/>
        <w:ind w:left="720"/>
        <w:rPr>
          <w:rFonts w:ascii="Calibri" w:eastAsia="Times New Roman" w:hAnsi="Calibri" w:cs="Arial"/>
          <w:color w:val="FF0000"/>
          <w:sz w:val="20"/>
          <w:szCs w:val="20"/>
          <w:lang w:eastAsia="en-NZ"/>
        </w:rPr>
      </w:pPr>
      <w:r>
        <w:rPr>
          <w:noProof/>
          <w:lang w:eastAsia="en-NZ"/>
        </w:rPr>
        <w:drawing>
          <wp:inline distT="0" distB="0" distL="0" distR="0" wp14:anchorId="64375C3B" wp14:editId="21F69505">
            <wp:extent cx="3581400" cy="25961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2044" cy="264009"/>
                    </a:xfrm>
                    <a:prstGeom prst="rect">
                      <a:avLst/>
                    </a:prstGeom>
                  </pic:spPr>
                </pic:pic>
              </a:graphicData>
            </a:graphic>
          </wp:inline>
        </w:drawing>
      </w:r>
    </w:p>
    <w:p w:rsidR="00394458" w:rsidRDefault="00394458" w:rsidP="00394458">
      <w:pPr>
        <w:pStyle w:val="ListParagraph"/>
        <w:numPr>
          <w:ilvl w:val="0"/>
          <w:numId w:val="4"/>
        </w:numPr>
        <w:rPr>
          <w:rFonts w:ascii="Calibri" w:eastAsia="Times New Roman" w:hAnsi="Calibri" w:cs="Arial"/>
          <w:color w:val="FF0000"/>
          <w:sz w:val="20"/>
          <w:szCs w:val="20"/>
          <w:lang w:eastAsia="en-NZ"/>
        </w:rPr>
      </w:pPr>
      <w:r w:rsidRPr="00394458">
        <w:rPr>
          <w:rFonts w:ascii="Calibri" w:eastAsia="Times New Roman" w:hAnsi="Calibri" w:cs="Arial"/>
          <w:color w:val="FF0000"/>
          <w:sz w:val="20"/>
          <w:szCs w:val="20"/>
          <w:lang w:eastAsia="en-NZ"/>
        </w:rPr>
        <w:t xml:space="preserve">Specification section 2.4.2 Hardfill &amp; Blinding states </w:t>
      </w:r>
      <w:r w:rsidRPr="00394458">
        <w:rPr>
          <w:rFonts w:ascii="Calibri" w:eastAsia="Times New Roman" w:hAnsi="Calibri" w:cs="Arial"/>
          <w:i/>
          <w:color w:val="FF0000"/>
          <w:sz w:val="20"/>
          <w:szCs w:val="20"/>
          <w:lang w:eastAsia="en-NZ"/>
        </w:rPr>
        <w:t>“Hardfill under slabs on grade shall be 150mm of standard TNZ AP40 basecourse…”</w:t>
      </w:r>
      <w:r w:rsidRPr="00394458">
        <w:rPr>
          <w:rFonts w:ascii="Calibri" w:eastAsia="Times New Roman" w:hAnsi="Calibri" w:cs="Arial"/>
          <w:color w:val="FF0000"/>
          <w:sz w:val="20"/>
          <w:szCs w:val="20"/>
          <w:lang w:eastAsia="en-NZ"/>
        </w:rPr>
        <w:t xml:space="preserve">  The geotechnical letter recommends </w:t>
      </w:r>
      <w:r>
        <w:rPr>
          <w:rFonts w:ascii="Calibri" w:eastAsia="Times New Roman" w:hAnsi="Calibri" w:cs="Arial"/>
          <w:color w:val="FF0000"/>
          <w:sz w:val="20"/>
          <w:szCs w:val="20"/>
          <w:lang w:eastAsia="en-NZ"/>
        </w:rPr>
        <w:t xml:space="preserve">a </w:t>
      </w:r>
      <w:r w:rsidRPr="00394458">
        <w:rPr>
          <w:rFonts w:ascii="Calibri" w:eastAsia="Times New Roman" w:hAnsi="Calibri" w:cs="Arial"/>
          <w:color w:val="FF0000"/>
          <w:sz w:val="20"/>
          <w:szCs w:val="20"/>
          <w:lang w:eastAsia="en-NZ"/>
        </w:rPr>
        <w:t xml:space="preserve">300mm </w:t>
      </w:r>
      <w:r>
        <w:rPr>
          <w:rFonts w:ascii="Calibri" w:eastAsia="Times New Roman" w:hAnsi="Calibri" w:cs="Arial"/>
          <w:color w:val="FF0000"/>
          <w:sz w:val="20"/>
          <w:szCs w:val="20"/>
          <w:lang w:eastAsia="en-NZ"/>
        </w:rPr>
        <w:t xml:space="preserve">thick </w:t>
      </w:r>
      <w:r w:rsidRPr="00394458">
        <w:rPr>
          <w:rFonts w:ascii="Calibri" w:eastAsia="Times New Roman" w:hAnsi="Calibri" w:cs="Arial"/>
          <w:color w:val="FF0000"/>
          <w:sz w:val="20"/>
          <w:szCs w:val="20"/>
          <w:lang w:eastAsia="en-NZ"/>
        </w:rPr>
        <w:t xml:space="preserve">layer of AP65 below </w:t>
      </w:r>
      <w:r>
        <w:rPr>
          <w:rFonts w:ascii="Calibri" w:eastAsia="Times New Roman" w:hAnsi="Calibri" w:cs="Arial"/>
          <w:color w:val="FF0000"/>
          <w:sz w:val="20"/>
          <w:szCs w:val="20"/>
          <w:lang w:eastAsia="en-NZ"/>
        </w:rPr>
        <w:t xml:space="preserve">the </w:t>
      </w:r>
      <w:r w:rsidRPr="00394458">
        <w:rPr>
          <w:rFonts w:ascii="Calibri" w:eastAsia="Times New Roman" w:hAnsi="Calibri" w:cs="Arial"/>
          <w:color w:val="FF0000"/>
          <w:sz w:val="20"/>
          <w:szCs w:val="20"/>
          <w:lang w:eastAsia="en-NZ"/>
        </w:rPr>
        <w:t>concrete slab if placed on organic fill with UBC 150kPa, with geotextile (Bidim A19 or equal) on base &amp; sides of excavation, geogrid (Cirtex Duragrid 30/30 or equal) over the textile; extending beyond</w:t>
      </w:r>
      <w:r>
        <w:rPr>
          <w:rFonts w:ascii="Calibri" w:eastAsia="Times New Roman" w:hAnsi="Calibri" w:cs="Arial"/>
          <w:color w:val="FF0000"/>
          <w:sz w:val="20"/>
          <w:szCs w:val="20"/>
          <w:lang w:eastAsia="en-NZ"/>
        </w:rPr>
        <w:t xml:space="preserve"> the </w:t>
      </w:r>
      <w:r w:rsidRPr="00394458">
        <w:rPr>
          <w:rFonts w:ascii="Calibri" w:eastAsia="Times New Roman" w:hAnsi="Calibri" w:cs="Arial"/>
          <w:color w:val="FF0000"/>
          <w:sz w:val="20"/>
          <w:szCs w:val="20"/>
          <w:lang w:eastAsia="en-NZ"/>
        </w:rPr>
        <w:t>b</w:t>
      </w:r>
      <w:r>
        <w:rPr>
          <w:rFonts w:ascii="Calibri" w:eastAsia="Times New Roman" w:hAnsi="Calibri" w:cs="Arial"/>
          <w:color w:val="FF0000"/>
          <w:sz w:val="20"/>
          <w:szCs w:val="20"/>
          <w:lang w:eastAsia="en-NZ"/>
        </w:rPr>
        <w:t>uil</w:t>
      </w:r>
      <w:r w:rsidRPr="00394458">
        <w:rPr>
          <w:rFonts w:ascii="Calibri" w:eastAsia="Times New Roman" w:hAnsi="Calibri" w:cs="Arial"/>
          <w:color w:val="FF0000"/>
          <w:sz w:val="20"/>
          <w:szCs w:val="20"/>
          <w:lang w:eastAsia="en-NZ"/>
        </w:rPr>
        <w:t>d</w:t>
      </w:r>
      <w:r>
        <w:rPr>
          <w:rFonts w:ascii="Calibri" w:eastAsia="Times New Roman" w:hAnsi="Calibri" w:cs="Arial"/>
          <w:color w:val="FF0000"/>
          <w:sz w:val="20"/>
          <w:szCs w:val="20"/>
          <w:lang w:eastAsia="en-NZ"/>
        </w:rPr>
        <w:t>ing</w:t>
      </w:r>
      <w:r w:rsidRPr="00394458">
        <w:rPr>
          <w:rFonts w:ascii="Calibri" w:eastAsia="Times New Roman" w:hAnsi="Calibri" w:cs="Arial"/>
          <w:color w:val="FF0000"/>
          <w:sz w:val="20"/>
          <w:szCs w:val="20"/>
          <w:lang w:eastAsia="en-NZ"/>
        </w:rPr>
        <w:t xml:space="preserve"> footprint a distance </w:t>
      </w:r>
      <w:r>
        <w:rPr>
          <w:rFonts w:ascii="Calibri" w:eastAsia="Times New Roman" w:hAnsi="Calibri" w:cs="Arial"/>
          <w:color w:val="FF0000"/>
          <w:sz w:val="20"/>
          <w:szCs w:val="20"/>
          <w:lang w:eastAsia="en-NZ"/>
        </w:rPr>
        <w:t>equal to the</w:t>
      </w:r>
      <w:r w:rsidRPr="00394458">
        <w:rPr>
          <w:rFonts w:ascii="Calibri" w:eastAsia="Times New Roman" w:hAnsi="Calibri" w:cs="Arial"/>
          <w:color w:val="FF0000"/>
          <w:sz w:val="20"/>
          <w:szCs w:val="20"/>
          <w:lang w:eastAsia="en-NZ"/>
        </w:rPr>
        <w:t xml:space="preserve"> depth of </w:t>
      </w:r>
      <w:r>
        <w:rPr>
          <w:rFonts w:ascii="Calibri" w:eastAsia="Times New Roman" w:hAnsi="Calibri" w:cs="Arial"/>
          <w:color w:val="FF0000"/>
          <w:sz w:val="20"/>
          <w:szCs w:val="20"/>
          <w:lang w:eastAsia="en-NZ"/>
        </w:rPr>
        <w:t xml:space="preserve">the gravel. Please address why geotechnical recommendations were not followed. </w:t>
      </w:r>
    </w:p>
    <w:p w:rsidR="00890FEE" w:rsidRDefault="00890FEE" w:rsidP="00890FEE">
      <w:pPr>
        <w:ind w:left="720"/>
        <w:rPr>
          <w:rFonts w:ascii="Arial" w:hAnsi="Arial" w:cs="Arial"/>
          <w:color w:val="002060"/>
          <w:sz w:val="18"/>
          <w:szCs w:val="18"/>
        </w:rPr>
      </w:pPr>
      <w:r w:rsidRPr="00890FEE">
        <w:rPr>
          <w:rFonts w:ascii="Arial" w:hAnsi="Arial" w:cs="Arial"/>
          <w:color w:val="002060"/>
          <w:sz w:val="18"/>
          <w:szCs w:val="18"/>
        </w:rPr>
        <w:t>Refer to Project specification document section 2.4.2</w:t>
      </w:r>
    </w:p>
    <w:p w:rsidR="00890FEE" w:rsidRPr="00890FEE" w:rsidRDefault="00890FEE" w:rsidP="00890FEE">
      <w:pPr>
        <w:ind w:left="720"/>
        <w:rPr>
          <w:rFonts w:ascii="Calibri" w:eastAsia="Times New Roman" w:hAnsi="Calibri" w:cs="Arial"/>
          <w:color w:val="FF0000"/>
          <w:sz w:val="20"/>
          <w:szCs w:val="20"/>
          <w:lang w:eastAsia="en-NZ"/>
        </w:rPr>
      </w:pPr>
      <w:r>
        <w:rPr>
          <w:noProof/>
          <w:lang w:eastAsia="en-NZ"/>
        </w:rPr>
        <w:drawing>
          <wp:inline distT="0" distB="0" distL="0" distR="0" wp14:anchorId="08DD3108" wp14:editId="7B5B9E32">
            <wp:extent cx="3700462" cy="6181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9608" cy="619709"/>
                    </a:xfrm>
                    <a:prstGeom prst="rect">
                      <a:avLst/>
                    </a:prstGeom>
                  </pic:spPr>
                </pic:pic>
              </a:graphicData>
            </a:graphic>
          </wp:inline>
        </w:drawing>
      </w:r>
    </w:p>
    <w:p w:rsidR="00E8253B" w:rsidRPr="00890FEE" w:rsidRDefault="00394458" w:rsidP="00890FEE">
      <w:pPr>
        <w:pStyle w:val="ListParagraph"/>
        <w:numPr>
          <w:ilvl w:val="0"/>
          <w:numId w:val="4"/>
        </w:numPr>
        <w:rPr>
          <w:rFonts w:ascii="Calibri" w:eastAsia="Times New Roman" w:hAnsi="Calibri" w:cs="Arial"/>
          <w:color w:val="FF0000"/>
          <w:sz w:val="20"/>
          <w:szCs w:val="20"/>
          <w:lang w:eastAsia="en-NZ"/>
        </w:rPr>
      </w:pPr>
      <w:r>
        <w:rPr>
          <w:rFonts w:ascii="Calibri" w:eastAsia="Times New Roman" w:hAnsi="Calibri" w:cs="Arial"/>
          <w:color w:val="FF0000"/>
          <w:sz w:val="20"/>
          <w:szCs w:val="20"/>
          <w:lang w:eastAsia="en-NZ"/>
        </w:rPr>
        <w:t xml:space="preserve">The geotechnical letter also recommends that </w:t>
      </w:r>
      <w:r w:rsidRPr="00394458">
        <w:rPr>
          <w:rFonts w:ascii="Calibri" w:eastAsia="Times New Roman" w:hAnsi="Calibri" w:cs="Arial"/>
          <w:color w:val="FF0000"/>
          <w:sz w:val="20"/>
          <w:szCs w:val="20"/>
          <w:lang w:eastAsia="en-NZ"/>
        </w:rPr>
        <w:t>where</w:t>
      </w:r>
      <w:r>
        <w:rPr>
          <w:rFonts w:ascii="Calibri" w:eastAsia="Times New Roman" w:hAnsi="Calibri" w:cs="Arial"/>
          <w:color w:val="FF0000"/>
          <w:sz w:val="20"/>
          <w:szCs w:val="20"/>
          <w:lang w:eastAsia="en-NZ"/>
        </w:rPr>
        <w:t xml:space="preserve"> it is</w:t>
      </w:r>
      <w:r w:rsidRPr="00394458">
        <w:rPr>
          <w:rFonts w:ascii="Calibri" w:eastAsia="Times New Roman" w:hAnsi="Calibri" w:cs="Arial"/>
          <w:color w:val="FF0000"/>
          <w:sz w:val="20"/>
          <w:szCs w:val="20"/>
          <w:lang w:eastAsia="en-NZ"/>
        </w:rPr>
        <w:t xml:space="preserve"> not possible </w:t>
      </w:r>
      <w:r>
        <w:rPr>
          <w:rFonts w:ascii="Calibri" w:eastAsia="Times New Roman" w:hAnsi="Calibri" w:cs="Arial"/>
          <w:color w:val="FF0000"/>
          <w:sz w:val="20"/>
          <w:szCs w:val="20"/>
          <w:lang w:eastAsia="en-NZ"/>
        </w:rPr>
        <w:t xml:space="preserve">to extend the gravel layer beyond the building footprint </w:t>
      </w:r>
      <w:r w:rsidRPr="00394458">
        <w:rPr>
          <w:rFonts w:ascii="Calibri" w:eastAsia="Times New Roman" w:hAnsi="Calibri" w:cs="Arial"/>
          <w:color w:val="FF0000"/>
          <w:sz w:val="20"/>
          <w:szCs w:val="20"/>
          <w:lang w:eastAsia="en-NZ"/>
        </w:rPr>
        <w:t xml:space="preserve">on </w:t>
      </w:r>
      <w:r>
        <w:rPr>
          <w:rFonts w:ascii="Calibri" w:eastAsia="Times New Roman" w:hAnsi="Calibri" w:cs="Arial"/>
          <w:color w:val="FF0000"/>
          <w:sz w:val="20"/>
          <w:szCs w:val="20"/>
          <w:lang w:eastAsia="en-NZ"/>
        </w:rPr>
        <w:t xml:space="preserve">the </w:t>
      </w:r>
      <w:r w:rsidRPr="00394458">
        <w:rPr>
          <w:rFonts w:ascii="Calibri" w:eastAsia="Times New Roman" w:hAnsi="Calibri" w:cs="Arial"/>
          <w:color w:val="FF0000"/>
          <w:sz w:val="20"/>
          <w:szCs w:val="20"/>
          <w:lang w:eastAsia="en-NZ"/>
        </w:rPr>
        <w:t>S</w:t>
      </w:r>
      <w:r>
        <w:rPr>
          <w:rFonts w:ascii="Calibri" w:eastAsia="Times New Roman" w:hAnsi="Calibri" w:cs="Arial"/>
          <w:color w:val="FF0000"/>
          <w:sz w:val="20"/>
          <w:szCs w:val="20"/>
          <w:lang w:eastAsia="en-NZ"/>
        </w:rPr>
        <w:t>outh</w:t>
      </w:r>
      <w:r w:rsidRPr="00394458">
        <w:rPr>
          <w:rFonts w:ascii="Calibri" w:eastAsia="Times New Roman" w:hAnsi="Calibri" w:cs="Arial"/>
          <w:color w:val="FF0000"/>
          <w:sz w:val="20"/>
          <w:szCs w:val="20"/>
          <w:lang w:eastAsia="en-NZ"/>
        </w:rPr>
        <w:t xml:space="preserve"> &amp; W</w:t>
      </w:r>
      <w:r>
        <w:rPr>
          <w:rFonts w:ascii="Calibri" w:eastAsia="Times New Roman" w:hAnsi="Calibri" w:cs="Arial"/>
          <w:color w:val="FF0000"/>
          <w:sz w:val="20"/>
          <w:szCs w:val="20"/>
          <w:lang w:eastAsia="en-NZ"/>
        </w:rPr>
        <w:t>est</w:t>
      </w:r>
      <w:r w:rsidRPr="00394458">
        <w:rPr>
          <w:rFonts w:ascii="Calibri" w:eastAsia="Times New Roman" w:hAnsi="Calibri" w:cs="Arial"/>
          <w:color w:val="FF0000"/>
          <w:sz w:val="20"/>
          <w:szCs w:val="20"/>
          <w:lang w:eastAsia="en-NZ"/>
        </w:rPr>
        <w:t xml:space="preserve"> sides </w:t>
      </w:r>
      <w:r>
        <w:rPr>
          <w:rFonts w:ascii="Calibri" w:eastAsia="Times New Roman" w:hAnsi="Calibri" w:cs="Arial"/>
          <w:color w:val="FF0000"/>
          <w:sz w:val="20"/>
          <w:szCs w:val="20"/>
          <w:lang w:eastAsia="en-NZ"/>
        </w:rPr>
        <w:t xml:space="preserve">of the building because the </w:t>
      </w:r>
      <w:r w:rsidRPr="00394458">
        <w:rPr>
          <w:rFonts w:ascii="Calibri" w:eastAsia="Times New Roman" w:hAnsi="Calibri" w:cs="Arial"/>
          <w:color w:val="FF0000"/>
          <w:sz w:val="20"/>
          <w:szCs w:val="20"/>
          <w:lang w:eastAsia="en-NZ"/>
        </w:rPr>
        <w:t>site boundary</w:t>
      </w:r>
      <w:r>
        <w:rPr>
          <w:rFonts w:ascii="Calibri" w:eastAsia="Times New Roman" w:hAnsi="Calibri" w:cs="Arial"/>
          <w:color w:val="FF0000"/>
          <w:sz w:val="20"/>
          <w:szCs w:val="20"/>
          <w:lang w:eastAsia="en-NZ"/>
        </w:rPr>
        <w:t xml:space="preserve"> does not does not provide adequate space,</w:t>
      </w:r>
      <w:r w:rsidRPr="00394458">
        <w:rPr>
          <w:rFonts w:ascii="Calibri" w:eastAsia="Times New Roman" w:hAnsi="Calibri" w:cs="Arial"/>
          <w:color w:val="FF0000"/>
          <w:sz w:val="20"/>
          <w:szCs w:val="20"/>
          <w:lang w:eastAsia="en-NZ"/>
        </w:rPr>
        <w:t xml:space="preserve"> </w:t>
      </w:r>
      <w:r>
        <w:rPr>
          <w:rFonts w:ascii="Calibri" w:eastAsia="Times New Roman" w:hAnsi="Calibri" w:cs="Arial"/>
          <w:color w:val="FF0000"/>
          <w:sz w:val="20"/>
          <w:szCs w:val="20"/>
          <w:lang w:eastAsia="en-NZ"/>
        </w:rPr>
        <w:t xml:space="preserve">a </w:t>
      </w:r>
      <w:r w:rsidRPr="00394458">
        <w:rPr>
          <w:rFonts w:ascii="Calibri" w:eastAsia="Times New Roman" w:hAnsi="Calibri" w:cs="Arial"/>
          <w:color w:val="FF0000"/>
          <w:sz w:val="20"/>
          <w:szCs w:val="20"/>
          <w:lang w:eastAsia="en-NZ"/>
        </w:rPr>
        <w:t>new slab section must be designed</w:t>
      </w:r>
      <w:r>
        <w:rPr>
          <w:rFonts w:ascii="Calibri" w:eastAsia="Times New Roman" w:hAnsi="Calibri" w:cs="Arial"/>
          <w:color w:val="FF0000"/>
          <w:sz w:val="20"/>
          <w:szCs w:val="20"/>
          <w:lang w:eastAsia="en-NZ"/>
        </w:rPr>
        <w:t>. Ple</w:t>
      </w:r>
      <w:r w:rsidR="00890FEE">
        <w:rPr>
          <w:rFonts w:ascii="Calibri" w:eastAsia="Times New Roman" w:hAnsi="Calibri" w:cs="Arial"/>
          <w:color w:val="FF0000"/>
          <w:sz w:val="20"/>
          <w:szCs w:val="20"/>
          <w:lang w:eastAsia="en-NZ"/>
        </w:rPr>
        <w:t>ase address this issue.</w:t>
      </w:r>
    </w:p>
    <w:p w:rsidR="00E8253B" w:rsidRPr="00890FEE" w:rsidRDefault="00E8253B" w:rsidP="00890FEE">
      <w:pPr>
        <w:spacing w:after="120"/>
        <w:ind w:left="360" w:firstLine="360"/>
        <w:rPr>
          <w:rFonts w:ascii="Arial" w:hAnsi="Arial" w:cs="Arial"/>
          <w:color w:val="002060"/>
          <w:sz w:val="18"/>
          <w:szCs w:val="18"/>
        </w:rPr>
      </w:pPr>
      <w:r w:rsidRPr="00890FEE">
        <w:rPr>
          <w:rFonts w:ascii="Arial" w:hAnsi="Arial" w:cs="Arial"/>
          <w:color w:val="002060"/>
          <w:sz w:val="18"/>
          <w:szCs w:val="18"/>
        </w:rPr>
        <w:t>Refer to the structural calculations provided with the Structex engineering report supplied within these Documents.</w:t>
      </w:r>
    </w:p>
    <w:p w:rsidR="00E8253B" w:rsidRDefault="00E8253B" w:rsidP="00E8253B">
      <w:pPr>
        <w:spacing w:after="120"/>
        <w:ind w:left="360"/>
        <w:rPr>
          <w:rFonts w:ascii="Arial" w:hAnsi="Arial" w:cs="Arial"/>
          <w:sz w:val="18"/>
          <w:szCs w:val="18"/>
        </w:rPr>
      </w:pPr>
      <w:r>
        <w:rPr>
          <w:noProof/>
          <w:lang w:eastAsia="en-NZ"/>
        </w:rPr>
        <w:drawing>
          <wp:inline distT="0" distB="0" distL="0" distR="0" wp14:anchorId="639AB4CA" wp14:editId="3537B792">
            <wp:extent cx="4976812" cy="1113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3438" cy="1115090"/>
                    </a:xfrm>
                    <a:prstGeom prst="rect">
                      <a:avLst/>
                    </a:prstGeom>
                  </pic:spPr>
                </pic:pic>
              </a:graphicData>
            </a:graphic>
          </wp:inline>
        </w:drawing>
      </w:r>
    </w:p>
    <w:p w:rsidR="00890FEE" w:rsidRDefault="00D05DE0" w:rsidP="00890FEE">
      <w:pPr>
        <w:spacing w:after="120"/>
        <w:rPr>
          <w:rFonts w:ascii="Arial" w:hAnsi="Arial" w:cs="Arial"/>
          <w:color w:val="FF0000"/>
          <w:sz w:val="18"/>
          <w:szCs w:val="18"/>
        </w:rPr>
      </w:pPr>
      <w:r>
        <w:rPr>
          <w:rFonts w:ascii="Arial" w:hAnsi="Arial" w:cs="Arial"/>
          <w:color w:val="FF0000"/>
          <w:sz w:val="18"/>
          <w:szCs w:val="18"/>
        </w:rPr>
        <w:t xml:space="preserve">RFI ADDED 13/7/17 </w:t>
      </w:r>
    </w:p>
    <w:p w:rsidR="00D05DE0" w:rsidRDefault="00D05DE0" w:rsidP="00D05DE0">
      <w:pPr>
        <w:pStyle w:val="ListParagraph"/>
        <w:numPr>
          <w:ilvl w:val="0"/>
          <w:numId w:val="6"/>
        </w:numPr>
        <w:spacing w:after="120"/>
        <w:rPr>
          <w:rFonts w:ascii="Arial" w:hAnsi="Arial" w:cs="Arial"/>
          <w:color w:val="FF0000"/>
          <w:sz w:val="18"/>
          <w:szCs w:val="18"/>
        </w:rPr>
      </w:pPr>
      <w:r>
        <w:rPr>
          <w:rFonts w:ascii="Arial" w:hAnsi="Arial" w:cs="Arial"/>
          <w:color w:val="FF0000"/>
          <w:sz w:val="18"/>
          <w:szCs w:val="18"/>
        </w:rPr>
        <w:t>R</w:t>
      </w:r>
      <w:r w:rsidRPr="00D05DE0">
        <w:rPr>
          <w:rFonts w:ascii="Arial" w:hAnsi="Arial" w:cs="Arial"/>
          <w:color w:val="FF0000"/>
          <w:sz w:val="18"/>
          <w:szCs w:val="18"/>
        </w:rPr>
        <w:t>eport not provided</w:t>
      </w:r>
    </w:p>
    <w:p w:rsidR="00D05DE0" w:rsidRDefault="00D05DE0" w:rsidP="00D05DE0">
      <w:pPr>
        <w:pStyle w:val="ListParagraph"/>
        <w:numPr>
          <w:ilvl w:val="0"/>
          <w:numId w:val="6"/>
        </w:numPr>
        <w:spacing w:after="120"/>
        <w:rPr>
          <w:rFonts w:ascii="Arial" w:hAnsi="Arial" w:cs="Arial"/>
          <w:color w:val="FF0000"/>
          <w:sz w:val="18"/>
          <w:szCs w:val="18"/>
        </w:rPr>
      </w:pPr>
      <w:r>
        <w:rPr>
          <w:rFonts w:ascii="Arial" w:hAnsi="Arial" w:cs="Arial"/>
          <w:color w:val="00B050"/>
          <w:sz w:val="18"/>
          <w:szCs w:val="18"/>
        </w:rPr>
        <w:t>Withdrawn – DFR section 2.1 states office has been designed to be seismically separate from the existing structure</w:t>
      </w:r>
    </w:p>
    <w:p w:rsidR="00D05DE0" w:rsidRDefault="00D05DE0" w:rsidP="00D05DE0">
      <w:pPr>
        <w:pStyle w:val="ListParagraph"/>
        <w:numPr>
          <w:ilvl w:val="0"/>
          <w:numId w:val="6"/>
        </w:numPr>
        <w:spacing w:after="120"/>
        <w:rPr>
          <w:rFonts w:ascii="Arial" w:hAnsi="Arial" w:cs="Arial"/>
          <w:color w:val="FF0000"/>
          <w:sz w:val="18"/>
          <w:szCs w:val="18"/>
        </w:rPr>
      </w:pPr>
      <w:r w:rsidRPr="00D05DE0">
        <w:rPr>
          <w:rFonts w:ascii="Arial" w:hAnsi="Arial" w:cs="Arial"/>
          <w:color w:val="00B050"/>
          <w:sz w:val="18"/>
          <w:szCs w:val="18"/>
        </w:rPr>
        <w:t>Resolved</w:t>
      </w:r>
    </w:p>
    <w:p w:rsidR="00D05DE0" w:rsidRDefault="00D05DE0" w:rsidP="00D05DE0">
      <w:pPr>
        <w:pStyle w:val="ListParagraph"/>
        <w:numPr>
          <w:ilvl w:val="0"/>
          <w:numId w:val="6"/>
        </w:numPr>
        <w:spacing w:after="120"/>
        <w:rPr>
          <w:rFonts w:ascii="Arial" w:hAnsi="Arial" w:cs="Arial"/>
          <w:color w:val="FF0000"/>
          <w:sz w:val="18"/>
          <w:szCs w:val="18"/>
        </w:rPr>
      </w:pPr>
      <w:r w:rsidRPr="00D05DE0">
        <w:rPr>
          <w:rFonts w:ascii="Arial" w:hAnsi="Arial" w:cs="Arial"/>
          <w:color w:val="00B050"/>
          <w:sz w:val="18"/>
          <w:szCs w:val="18"/>
        </w:rPr>
        <w:t>Resolved</w:t>
      </w:r>
    </w:p>
    <w:p w:rsidR="00D05DE0" w:rsidRDefault="00D05DE0" w:rsidP="00D05DE0">
      <w:pPr>
        <w:pStyle w:val="ListParagraph"/>
        <w:numPr>
          <w:ilvl w:val="0"/>
          <w:numId w:val="6"/>
        </w:numPr>
        <w:spacing w:after="120"/>
        <w:rPr>
          <w:rFonts w:ascii="Arial" w:hAnsi="Arial" w:cs="Arial"/>
          <w:color w:val="FF0000"/>
          <w:sz w:val="18"/>
          <w:szCs w:val="18"/>
        </w:rPr>
      </w:pPr>
      <w:r w:rsidRPr="00D05DE0">
        <w:rPr>
          <w:rFonts w:ascii="Arial" w:hAnsi="Arial" w:cs="Arial"/>
          <w:color w:val="00B050"/>
          <w:sz w:val="18"/>
          <w:szCs w:val="18"/>
        </w:rPr>
        <w:t>Resolved</w:t>
      </w:r>
    </w:p>
    <w:p w:rsidR="00D05DE0" w:rsidRDefault="00D05DE0" w:rsidP="00D05DE0">
      <w:pPr>
        <w:pStyle w:val="ListParagraph"/>
        <w:numPr>
          <w:ilvl w:val="0"/>
          <w:numId w:val="6"/>
        </w:numPr>
        <w:spacing w:after="120"/>
        <w:rPr>
          <w:rFonts w:ascii="Arial" w:hAnsi="Arial" w:cs="Arial"/>
          <w:color w:val="FF0000"/>
          <w:sz w:val="18"/>
          <w:szCs w:val="18"/>
        </w:rPr>
      </w:pPr>
      <w:r w:rsidRPr="00D05DE0">
        <w:rPr>
          <w:rFonts w:ascii="Arial" w:hAnsi="Arial" w:cs="Arial"/>
          <w:color w:val="FF0000"/>
          <w:sz w:val="18"/>
          <w:szCs w:val="18"/>
        </w:rPr>
        <w:t>Response refers to structural calculations; this does not answer the question.</w:t>
      </w:r>
      <w:r w:rsidR="005565AB">
        <w:rPr>
          <w:rFonts w:ascii="Arial" w:hAnsi="Arial" w:cs="Arial"/>
          <w:color w:val="FF0000"/>
          <w:sz w:val="18"/>
          <w:szCs w:val="18"/>
        </w:rPr>
        <w:t xml:space="preserve"> Please indicate where this information is found. </w:t>
      </w:r>
    </w:p>
    <w:p w:rsidR="00910F23" w:rsidRDefault="00910F23" w:rsidP="00910F23">
      <w:p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Response 31/7/17</w:t>
      </w:r>
    </w:p>
    <w:p w:rsidR="00910F23" w:rsidRDefault="00910F23" w:rsidP="00910F23">
      <w:p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 xml:space="preserve">Engco Geotechnical Report </w:t>
      </w:r>
      <w:r w:rsidR="00312466">
        <w:rPr>
          <w:rFonts w:ascii="Arial" w:hAnsi="Arial" w:cs="Arial"/>
          <w:color w:val="2F5496" w:themeColor="accent5" w:themeShade="BF"/>
          <w:sz w:val="18"/>
          <w:szCs w:val="18"/>
        </w:rPr>
        <w:t xml:space="preserve">for 83 Byron st, </w:t>
      </w:r>
      <w:r>
        <w:rPr>
          <w:rFonts w:ascii="Arial" w:hAnsi="Arial" w:cs="Arial"/>
          <w:color w:val="2F5496" w:themeColor="accent5" w:themeShade="BF"/>
          <w:sz w:val="18"/>
          <w:szCs w:val="18"/>
        </w:rPr>
        <w:t>Ref 16363, rev 1 30/1/2017, signed Andrew Lind, CPEng (civil/struct)</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Per EQC, moderate to severe liquefaction observed in the area (June 2011), minor (Dec 2011)</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EQC: no ground cracks or lateral spreading</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No EQ induced land deformation observed on site</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 xml:space="preserve">2 CPTu to 15m, 4 DCPs to 2.0m, 2 HA to 2.0m, 1 CPT </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noProof/>
          <w:lang w:eastAsia="en-NZ"/>
        </w:rPr>
        <w:drawing>
          <wp:inline distT="0" distB="0" distL="0" distR="0" wp14:anchorId="11C9BBCC" wp14:editId="50BD397A">
            <wp:extent cx="3536950" cy="71131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2465" cy="712424"/>
                    </a:xfrm>
                    <a:prstGeom prst="rect">
                      <a:avLst/>
                    </a:prstGeom>
                  </pic:spPr>
                </pic:pic>
              </a:graphicData>
            </a:graphic>
          </wp:inline>
        </w:drawing>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 xml:space="preserve">GW not encountered in shallow investigation; GNS 0.0 – 1.0m </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For analysis, GW = 2.0 (in situ), 0.5m (design)</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Subsoil class D</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noProof/>
          <w:lang w:eastAsia="en-NZ"/>
        </w:rPr>
        <w:lastRenderedPageBreak/>
        <w:drawing>
          <wp:inline distT="0" distB="0" distL="0" distR="0" wp14:anchorId="5ACAF70A" wp14:editId="1A280199">
            <wp:extent cx="3644900" cy="10700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0582" cy="1071686"/>
                    </a:xfrm>
                    <a:prstGeom prst="rect">
                      <a:avLst/>
                    </a:prstGeom>
                  </pic:spPr>
                </pic:pic>
              </a:graphicData>
            </a:graphic>
          </wp:inline>
        </w:drawing>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noProof/>
          <w:lang w:eastAsia="en-NZ"/>
        </w:rPr>
        <w:drawing>
          <wp:inline distT="0" distB="0" distL="0" distR="0" wp14:anchorId="57708EFE" wp14:editId="3F8CD2AC">
            <wp:extent cx="3743432" cy="121856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8972" cy="1233389"/>
                    </a:xfrm>
                    <a:prstGeom prst="rect">
                      <a:avLst/>
                    </a:prstGeom>
                  </pic:spPr>
                </pic:pic>
              </a:graphicData>
            </a:graphic>
          </wp:inline>
        </w:drawing>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Non-liq soil layer from 3.0m to 7.0m (ULS)</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Global lateral movement – minor to moderate</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Lateral stretch – minor to moderate</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Site sufficiently tested to SLS</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Conventional shallow fdn not recommended</w:t>
      </w:r>
    </w:p>
    <w:p w:rsidR="004043EA" w:rsidRDefault="004043EA" w:rsidP="004043EA">
      <w:pPr>
        <w:pStyle w:val="ListParagraph"/>
        <w:numPr>
          <w:ilvl w:val="0"/>
          <w:numId w:val="7"/>
        </w:numPr>
        <w:spacing w:after="120"/>
        <w:rPr>
          <w:rFonts w:ascii="Arial" w:hAnsi="Arial" w:cs="Arial"/>
          <w:color w:val="2F5496" w:themeColor="accent5" w:themeShade="BF"/>
          <w:sz w:val="18"/>
          <w:szCs w:val="18"/>
        </w:rPr>
      </w:pPr>
      <w:r>
        <w:rPr>
          <w:rFonts w:ascii="Arial" w:hAnsi="Arial" w:cs="Arial"/>
          <w:color w:val="2F5496" w:themeColor="accent5" w:themeShade="BF"/>
          <w:sz w:val="18"/>
          <w:szCs w:val="18"/>
        </w:rPr>
        <w:t>SED piled fdn founded at 12.5m</w:t>
      </w:r>
    </w:p>
    <w:p w:rsidR="00CE6FFD" w:rsidRPr="00CE6FFD" w:rsidRDefault="00CE6FFD" w:rsidP="00CE6FFD">
      <w:pPr>
        <w:spacing w:after="120"/>
        <w:rPr>
          <w:rFonts w:ascii="Arial" w:hAnsi="Arial" w:cs="Arial"/>
          <w:color w:val="FF0000"/>
          <w:sz w:val="18"/>
          <w:szCs w:val="18"/>
        </w:rPr>
      </w:pPr>
      <w:r>
        <w:rPr>
          <w:rFonts w:ascii="Arial" w:hAnsi="Arial" w:cs="Arial"/>
          <w:color w:val="FF0000"/>
          <w:sz w:val="18"/>
          <w:szCs w:val="18"/>
        </w:rPr>
        <w:t>RFI 31/7/17</w:t>
      </w:r>
    </w:p>
    <w:p w:rsidR="00CE6FFD" w:rsidRPr="00CE6FFD" w:rsidRDefault="00CE6FFD" w:rsidP="00CE6FFD">
      <w:pPr>
        <w:pStyle w:val="ListParagraph"/>
        <w:numPr>
          <w:ilvl w:val="0"/>
          <w:numId w:val="8"/>
        </w:numPr>
        <w:spacing w:after="120"/>
        <w:rPr>
          <w:rFonts w:ascii="Arial" w:hAnsi="Arial" w:cs="Arial"/>
          <w:color w:val="FF0000"/>
          <w:sz w:val="18"/>
          <w:szCs w:val="18"/>
        </w:rPr>
      </w:pPr>
      <w:r w:rsidRPr="00CE6FFD">
        <w:rPr>
          <w:rFonts w:ascii="Arial" w:hAnsi="Arial" w:cs="Arial"/>
          <w:color w:val="FF0000"/>
          <w:sz w:val="18"/>
          <w:szCs w:val="18"/>
        </w:rPr>
        <w:t xml:space="preserve">ADDED 31/7/17: Please provide results of CPT and CPTu site investigation. </w:t>
      </w:r>
    </w:p>
    <w:p w:rsidR="00CE6FFD" w:rsidRDefault="00CE6FFD" w:rsidP="00CE6FFD">
      <w:pPr>
        <w:spacing w:after="120"/>
        <w:ind w:left="360"/>
        <w:rPr>
          <w:rFonts w:ascii="Arial" w:hAnsi="Arial" w:cs="Arial"/>
          <w:color w:val="FF0000"/>
          <w:sz w:val="18"/>
          <w:szCs w:val="18"/>
        </w:rPr>
      </w:pPr>
      <w:r w:rsidRPr="00CE6FFD">
        <w:rPr>
          <w:rFonts w:ascii="Arial" w:hAnsi="Arial" w:cs="Arial"/>
          <w:color w:val="FF0000"/>
          <w:sz w:val="18"/>
          <w:szCs w:val="18"/>
        </w:rPr>
        <w:t>a2) ADDED 31/7/17: The Engco report for 83 Byron St indicates potential liquefaction induced settlement up to 100mm for SLS and up to 165mm for ULS are possible. Please clarify that this has been considered in design of the slab footing for 80 Byron St extension.</w:t>
      </w:r>
    </w:p>
    <w:p w:rsidR="00CE6FFD" w:rsidRDefault="00CE6FFD" w:rsidP="00CE6FFD">
      <w:pPr>
        <w:pStyle w:val="ListParagraph"/>
        <w:numPr>
          <w:ilvl w:val="0"/>
          <w:numId w:val="9"/>
        </w:numPr>
        <w:spacing w:after="120"/>
        <w:rPr>
          <w:rFonts w:ascii="Arial" w:hAnsi="Arial" w:cs="Arial"/>
          <w:color w:val="FF0000"/>
          <w:sz w:val="18"/>
          <w:szCs w:val="18"/>
        </w:rPr>
      </w:pPr>
      <w:r w:rsidRPr="00CE6FFD">
        <w:rPr>
          <w:rFonts w:ascii="Arial" w:hAnsi="Arial" w:cs="Arial"/>
          <w:color w:val="FF0000"/>
          <w:sz w:val="18"/>
          <w:szCs w:val="18"/>
        </w:rPr>
        <w:t>31/7/17: no response provided</w:t>
      </w:r>
    </w:p>
    <w:p w:rsidR="006F1C4C" w:rsidRDefault="006F1C4C" w:rsidP="006F1C4C">
      <w:pPr>
        <w:spacing w:after="120"/>
        <w:rPr>
          <w:rFonts w:ascii="Arial" w:hAnsi="Arial" w:cs="Arial"/>
          <w:color w:val="4472C4" w:themeColor="accent5"/>
          <w:sz w:val="18"/>
          <w:szCs w:val="18"/>
        </w:rPr>
      </w:pPr>
      <w:r>
        <w:rPr>
          <w:rFonts w:ascii="Arial" w:hAnsi="Arial" w:cs="Arial"/>
          <w:color w:val="4472C4" w:themeColor="accent5"/>
          <w:sz w:val="18"/>
          <w:szCs w:val="18"/>
        </w:rPr>
        <w:t>Response 15/8/17</w:t>
      </w:r>
    </w:p>
    <w:p w:rsidR="006F1C4C" w:rsidRDefault="006F1C4C" w:rsidP="006F1C4C">
      <w:pPr>
        <w:pStyle w:val="ListParagraph"/>
        <w:numPr>
          <w:ilvl w:val="0"/>
          <w:numId w:val="10"/>
        </w:numPr>
        <w:spacing w:after="120"/>
        <w:rPr>
          <w:rFonts w:ascii="Arial" w:hAnsi="Arial" w:cs="Arial"/>
          <w:color w:val="4472C4" w:themeColor="accent5"/>
          <w:sz w:val="18"/>
          <w:szCs w:val="18"/>
        </w:rPr>
      </w:pPr>
      <w:r w:rsidRPr="006F1C4C">
        <w:rPr>
          <w:rFonts w:ascii="Arial" w:hAnsi="Arial" w:cs="Arial"/>
          <w:color w:val="4472C4" w:themeColor="accent5"/>
          <w:sz w:val="18"/>
          <w:szCs w:val="18"/>
        </w:rPr>
        <w:t>ENGCO report provided</w:t>
      </w:r>
    </w:p>
    <w:p w:rsidR="006F1C4C" w:rsidRPr="006F1C4C" w:rsidRDefault="006F1C4C" w:rsidP="006F1C4C">
      <w:pPr>
        <w:pStyle w:val="ListParagraph"/>
        <w:numPr>
          <w:ilvl w:val="0"/>
          <w:numId w:val="11"/>
        </w:numPr>
        <w:spacing w:after="120"/>
        <w:rPr>
          <w:rFonts w:ascii="Arial" w:hAnsi="Arial" w:cs="Arial"/>
          <w:color w:val="4472C4" w:themeColor="accent5"/>
          <w:sz w:val="18"/>
          <w:szCs w:val="18"/>
        </w:rPr>
      </w:pPr>
    </w:p>
    <w:p w:rsidR="006F1C4C" w:rsidRDefault="006F1C4C" w:rsidP="00C66CFD">
      <w:pPr>
        <w:spacing w:after="120"/>
        <w:ind w:left="720"/>
        <w:rPr>
          <w:rFonts w:ascii="Arial" w:hAnsi="Arial" w:cs="Arial"/>
          <w:color w:val="4472C4" w:themeColor="accent5"/>
          <w:sz w:val="18"/>
          <w:szCs w:val="18"/>
        </w:rPr>
      </w:pPr>
      <w:r>
        <w:rPr>
          <w:noProof/>
          <w:lang w:eastAsia="en-NZ"/>
        </w:rPr>
        <w:drawing>
          <wp:inline distT="0" distB="0" distL="0" distR="0" wp14:anchorId="0E1C33BE" wp14:editId="1D586D42">
            <wp:extent cx="4872398" cy="284388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3806" cy="2844711"/>
                    </a:xfrm>
                    <a:prstGeom prst="rect">
                      <a:avLst/>
                    </a:prstGeom>
                  </pic:spPr>
                </pic:pic>
              </a:graphicData>
            </a:graphic>
          </wp:inline>
        </w:drawing>
      </w:r>
    </w:p>
    <w:p w:rsidR="006F1C4C" w:rsidRDefault="006F1C4C" w:rsidP="006F1C4C">
      <w:pPr>
        <w:spacing w:after="120"/>
        <w:rPr>
          <w:rFonts w:ascii="Arial" w:hAnsi="Arial" w:cs="Arial"/>
          <w:sz w:val="18"/>
          <w:szCs w:val="18"/>
        </w:rPr>
      </w:pPr>
      <w:r>
        <w:rPr>
          <w:rFonts w:ascii="Arial" w:hAnsi="Arial" w:cs="Arial"/>
          <w:sz w:val="18"/>
          <w:szCs w:val="18"/>
        </w:rPr>
        <w:t>Geotechnical Report for proposed commercial building, ref 16363, 11/11/2016, Engco</w:t>
      </w:r>
      <w:r w:rsidR="00181050">
        <w:rPr>
          <w:rFonts w:ascii="Arial" w:hAnsi="Arial" w:cs="Arial"/>
          <w:sz w:val="18"/>
          <w:szCs w:val="18"/>
        </w:rPr>
        <w:t>, signed Andrew Lind, CPEng (civil, Structural) &amp; David Brierley, CPEng (management)</w:t>
      </w:r>
    </w:p>
    <w:p w:rsidR="00181050" w:rsidRDefault="00C66CFD" w:rsidP="00C66CFD">
      <w:pPr>
        <w:pStyle w:val="ListParagraph"/>
        <w:numPr>
          <w:ilvl w:val="0"/>
          <w:numId w:val="12"/>
        </w:numPr>
        <w:spacing w:after="120"/>
        <w:rPr>
          <w:rFonts w:ascii="Arial" w:hAnsi="Arial" w:cs="Arial"/>
          <w:sz w:val="18"/>
          <w:szCs w:val="18"/>
        </w:rPr>
      </w:pPr>
      <w:r>
        <w:rPr>
          <w:rFonts w:ascii="Arial" w:hAnsi="Arial" w:cs="Arial"/>
          <w:sz w:val="18"/>
          <w:szCs w:val="18"/>
        </w:rPr>
        <w:t>2 CPTu to 15m, 4 DCP to 2.0m, 2 HA to 2.0m, 1 CPT</w:t>
      </w:r>
    </w:p>
    <w:p w:rsidR="00C66CFD" w:rsidRDefault="00C66CFD" w:rsidP="00C66CFD">
      <w:pPr>
        <w:pStyle w:val="ListParagraph"/>
        <w:numPr>
          <w:ilvl w:val="0"/>
          <w:numId w:val="12"/>
        </w:numPr>
        <w:spacing w:after="120"/>
        <w:rPr>
          <w:rFonts w:ascii="Arial" w:hAnsi="Arial" w:cs="Arial"/>
          <w:sz w:val="18"/>
          <w:szCs w:val="18"/>
        </w:rPr>
      </w:pPr>
      <w:r>
        <w:rPr>
          <w:noProof/>
          <w:lang w:eastAsia="en-NZ"/>
        </w:rPr>
        <w:drawing>
          <wp:inline distT="0" distB="0" distL="0" distR="0" wp14:anchorId="1E8B1CF0" wp14:editId="16215B75">
            <wp:extent cx="1475382" cy="17193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7308" cy="1721641"/>
                    </a:xfrm>
                    <a:prstGeom prst="rect">
                      <a:avLst/>
                    </a:prstGeom>
                  </pic:spPr>
                </pic:pic>
              </a:graphicData>
            </a:graphic>
          </wp:inline>
        </w:drawing>
      </w:r>
    </w:p>
    <w:p w:rsidR="00C66CFD" w:rsidRPr="00BE57E1" w:rsidRDefault="00BE57E1" w:rsidP="00BE57E1">
      <w:pPr>
        <w:spacing w:after="120"/>
        <w:rPr>
          <w:rFonts w:ascii="Arial" w:hAnsi="Arial" w:cs="Arial"/>
          <w:sz w:val="18"/>
          <w:szCs w:val="18"/>
        </w:rPr>
      </w:pPr>
      <w:r>
        <w:rPr>
          <w:rFonts w:ascii="Arial" w:hAnsi="Arial" w:cs="Arial"/>
          <w:sz w:val="18"/>
          <w:szCs w:val="18"/>
        </w:rPr>
        <w:t xml:space="preserve">Re a.2) recommendations by Geotech letter were followed, therefore, liquefaction induced settlement should have been considered. </w:t>
      </w:r>
      <w:bookmarkStart w:id="0" w:name="_GoBack"/>
      <w:bookmarkEnd w:id="0"/>
    </w:p>
    <w:sectPr w:rsidR="00C66CFD" w:rsidRPr="00BE57E1" w:rsidSect="00D71591">
      <w:pgSz w:w="11906" w:h="16838"/>
      <w:pgMar w:top="1440" w:right="849"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67FC"/>
    <w:multiLevelType w:val="hybridMultilevel"/>
    <w:tmpl w:val="D8A60C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DEE1D7E"/>
    <w:multiLevelType w:val="hybridMultilevel"/>
    <w:tmpl w:val="AD0C363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9CC6AC6"/>
    <w:multiLevelType w:val="hybridMultilevel"/>
    <w:tmpl w:val="3E22FF9C"/>
    <w:lvl w:ilvl="0" w:tplc="14090001">
      <w:start w:val="1"/>
      <w:numFmt w:val="bullet"/>
      <w:lvlText w:val=""/>
      <w:lvlJc w:val="left"/>
      <w:pPr>
        <w:ind w:left="720" w:hanging="360"/>
      </w:pPr>
      <w:rPr>
        <w:rFonts w:ascii="Symbol" w:hAnsi="Symbol" w:hint="default"/>
      </w:rPr>
    </w:lvl>
    <w:lvl w:ilvl="1" w:tplc="4622EDAE">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7313D82"/>
    <w:multiLevelType w:val="hybridMultilevel"/>
    <w:tmpl w:val="A386B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951CAF"/>
    <w:multiLevelType w:val="hybridMultilevel"/>
    <w:tmpl w:val="3522EB4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32365F7"/>
    <w:multiLevelType w:val="hybridMultilevel"/>
    <w:tmpl w:val="FA1CAD02"/>
    <w:lvl w:ilvl="0" w:tplc="760ABD38">
      <w:start w:val="6"/>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F32661F"/>
    <w:multiLevelType w:val="hybridMultilevel"/>
    <w:tmpl w:val="0B48399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1CF4B38"/>
    <w:multiLevelType w:val="hybridMultilevel"/>
    <w:tmpl w:val="407E897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EF055F3"/>
    <w:multiLevelType w:val="hybridMultilevel"/>
    <w:tmpl w:val="722A1D4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F1C6DDF"/>
    <w:multiLevelType w:val="hybridMultilevel"/>
    <w:tmpl w:val="C7660B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6C15994"/>
    <w:multiLevelType w:val="hybridMultilevel"/>
    <w:tmpl w:val="944A6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7E8428D"/>
    <w:multiLevelType w:val="hybridMultilevel"/>
    <w:tmpl w:val="B18A7190"/>
    <w:lvl w:ilvl="0" w:tplc="FA204DB0">
      <w:start w:val="6"/>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7"/>
  </w:num>
  <w:num w:numId="5">
    <w:abstractNumId w:val="6"/>
  </w:num>
  <w:num w:numId="6">
    <w:abstractNumId w:val="1"/>
  </w:num>
  <w:num w:numId="7">
    <w:abstractNumId w:val="3"/>
  </w:num>
  <w:num w:numId="8">
    <w:abstractNumId w:val="8"/>
  </w:num>
  <w:num w:numId="9">
    <w:abstractNumId w:val="11"/>
  </w:num>
  <w:num w:numId="10">
    <w:abstractNumId w:val="4"/>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91"/>
    <w:rsid w:val="001326C1"/>
    <w:rsid w:val="00181050"/>
    <w:rsid w:val="00312466"/>
    <w:rsid w:val="00394458"/>
    <w:rsid w:val="004043EA"/>
    <w:rsid w:val="004C1D4A"/>
    <w:rsid w:val="004F1D2D"/>
    <w:rsid w:val="0051010C"/>
    <w:rsid w:val="005565AB"/>
    <w:rsid w:val="005B2713"/>
    <w:rsid w:val="006F1C4C"/>
    <w:rsid w:val="00765ADE"/>
    <w:rsid w:val="00890FEE"/>
    <w:rsid w:val="00910F23"/>
    <w:rsid w:val="00A8081F"/>
    <w:rsid w:val="00B16725"/>
    <w:rsid w:val="00B24095"/>
    <w:rsid w:val="00BE57E1"/>
    <w:rsid w:val="00C66CFD"/>
    <w:rsid w:val="00CE6FFD"/>
    <w:rsid w:val="00D05DE0"/>
    <w:rsid w:val="00D638BC"/>
    <w:rsid w:val="00D71591"/>
    <w:rsid w:val="00E12C7A"/>
    <w:rsid w:val="00E825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32B13F-7031-4FDB-9AC9-394A4933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5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48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61D05D3D3D844BDE187CD150336FF" ma:contentTypeVersion="14" ma:contentTypeDescription="Create a new document." ma:contentTypeScope="" ma:versionID="3dc783a72e07b9cbd62620d73f97e63b">
  <xsd:schema xmlns:xsd="http://www.w3.org/2001/XMLSchema" xmlns:xs="http://www.w3.org/2001/XMLSchema" xmlns:p="http://schemas.microsoft.com/office/2006/metadata/properties" xmlns:ns2="1ce5b78d-b69c-4628-bdd7-16d065538d14" xmlns:ns3="b2660a6f-3e01-4372-9159-21136adddbe9" targetNamespace="http://schemas.microsoft.com/office/2006/metadata/properties" ma:root="true" ma:fieldsID="156089a815e3e1f2afcf0f7c1c32a16f" ns2:_="" ns3:_="">
    <xsd:import namespace="1ce5b78d-b69c-4628-bdd7-16d065538d14"/>
    <xsd:import namespace="b2660a6f-3e01-4372-9159-21136adddb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5b78d-b69c-4628-bdd7-16d065538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8c7c0c-1bdb-4df5-9b89-b8eb35630e6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660a6f-3e01-4372-9159-21136adddb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9e5487-d05f-4c82-8d06-ee79e425fbec}" ma:internalName="TaxCatchAll" ma:showField="CatchAllData" ma:web="b2660a6f-3e01-4372-9159-21136adddb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e5b78d-b69c-4628-bdd7-16d065538d14">
      <Terms xmlns="http://schemas.microsoft.com/office/infopath/2007/PartnerControls"/>
    </lcf76f155ced4ddcb4097134ff3c332f>
    <TaxCatchAll xmlns="b2660a6f-3e01-4372-9159-21136adddbe9" xsi:nil="true"/>
  </documentManagement>
</p:properties>
</file>

<file path=customXml/itemProps1.xml><?xml version="1.0" encoding="utf-8"?>
<ds:datastoreItem xmlns:ds="http://schemas.openxmlformats.org/officeDocument/2006/customXml" ds:itemID="{AC4FC4D3-1CA7-4BB7-8B94-E2CD0AB2C6BB}"/>
</file>

<file path=customXml/itemProps2.xml><?xml version="1.0" encoding="utf-8"?>
<ds:datastoreItem xmlns:ds="http://schemas.openxmlformats.org/officeDocument/2006/customXml" ds:itemID="{F3A414C7-26D5-4010-91ED-2F5F6B39EDB3}"/>
</file>

<file path=customXml/itemProps3.xml><?xml version="1.0" encoding="utf-8"?>
<ds:datastoreItem xmlns:ds="http://schemas.openxmlformats.org/officeDocument/2006/customXml" ds:itemID="{1496EE65-DC5A-4C96-9280-BC1BDFDB3153}"/>
</file>

<file path=docProps/app.xml><?xml version="1.0" encoding="utf-8"?>
<Properties xmlns="http://schemas.openxmlformats.org/officeDocument/2006/extended-properties" xmlns:vt="http://schemas.openxmlformats.org/officeDocument/2006/docPropsVTypes">
  <Template>Normal.dotm</Template>
  <TotalTime>210</TotalTime>
  <Pages>6</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Christchurch City Council</Company>
  <LinksUpToDate>false</LinksUpToDate>
  <CharactersWithSpaces>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Stoffel, Margaret</dc:creator>
  <cp:keywords/>
  <dc:description/>
  <cp:lastModifiedBy>Stoffel, Margaret</cp:lastModifiedBy>
  <cp:revision>6</cp:revision>
  <dcterms:created xsi:type="dcterms:W3CDTF">2017-04-04T21:28:00Z</dcterms:created>
  <dcterms:modified xsi:type="dcterms:W3CDTF">2017-08-15T02:08:00Z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0x0101008EC61D05D3D3D844BDE187CD150336FF</vt:lpwstr>
  </property>
</Properties>
</file>